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b/>
          <w:caps/>
          <w:color w:val="000000"/>
          <w:sz w:val="28"/>
          <w:szCs w:val="28"/>
          <w:lang w:val="uk-UA" w:eastAsia="ru-RU"/>
        </w:rPr>
        <w:t>дослідження техніко-економічних показників функціонування підприємств теплопостачання</w:t>
      </w: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3807">
        <w:rPr>
          <w:rFonts w:ascii="Times New Roman" w:hAnsi="Times New Roman"/>
          <w:color w:val="000000"/>
          <w:sz w:val="28"/>
          <w:szCs w:val="28"/>
          <w:lang w:val="uk-UA"/>
        </w:rPr>
        <w:t>С.В. ТЕЛЯТНИК</w:t>
      </w:r>
      <w:bookmarkStart w:id="0" w:name="_GoBack"/>
      <w:bookmarkEnd w:id="0"/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93807">
        <w:rPr>
          <w:rFonts w:ascii="Times New Roman" w:hAnsi="Times New Roman"/>
          <w:i/>
          <w:iCs/>
          <w:color w:val="000000"/>
          <w:sz w:val="28"/>
          <w:szCs w:val="28"/>
        </w:rPr>
        <w:t>Харківський національний університет міського</w:t>
      </w:r>
      <w:r w:rsidRPr="00D93807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D93807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господарства </w:t>
      </w: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93807">
        <w:rPr>
          <w:rFonts w:ascii="Times New Roman" w:hAnsi="Times New Roman"/>
          <w:i/>
          <w:iCs/>
          <w:color w:val="000000"/>
          <w:sz w:val="28"/>
          <w:szCs w:val="28"/>
        </w:rPr>
        <w:t>імені О. М. Бекетова</w:t>
      </w:r>
    </w:p>
    <w:p w:rsidR="004F76FA" w:rsidRPr="00D93807" w:rsidRDefault="004F76FA" w:rsidP="00D9380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i/>
          <w:iCs/>
          <w:sz w:val="28"/>
          <w:szCs w:val="28"/>
          <w:lang w:val="en-US"/>
        </w:rPr>
        <w:t>telyatniks</w:t>
      </w:r>
      <w:r w:rsidRPr="00D93807">
        <w:rPr>
          <w:rFonts w:ascii="Times New Roman" w:hAnsi="Times New Roman"/>
          <w:i/>
          <w:iCs/>
          <w:sz w:val="28"/>
          <w:szCs w:val="28"/>
        </w:rPr>
        <w:t>@</w:t>
      </w:r>
      <w:r w:rsidRPr="00D93807">
        <w:rPr>
          <w:rFonts w:ascii="Times New Roman" w:hAnsi="Times New Roman"/>
          <w:i/>
          <w:iCs/>
          <w:sz w:val="28"/>
          <w:szCs w:val="28"/>
          <w:lang w:val="en-US"/>
        </w:rPr>
        <w:t>yandex</w:t>
      </w:r>
      <w:r w:rsidRPr="00D93807">
        <w:rPr>
          <w:rFonts w:ascii="Times New Roman" w:hAnsi="Times New Roman"/>
          <w:i/>
          <w:iCs/>
          <w:sz w:val="28"/>
          <w:szCs w:val="28"/>
        </w:rPr>
        <w:t>.</w:t>
      </w:r>
      <w:r w:rsidRPr="00D93807">
        <w:rPr>
          <w:rFonts w:ascii="Times New Roman" w:hAnsi="Times New Roman"/>
          <w:i/>
          <w:iCs/>
          <w:sz w:val="28"/>
          <w:szCs w:val="28"/>
          <w:lang w:val="en-US"/>
        </w:rPr>
        <w:t>ru</w:t>
      </w:r>
    </w:p>
    <w:p w:rsidR="004F76FA" w:rsidRPr="00D93807" w:rsidRDefault="004F76FA" w:rsidP="00D93807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Сьогодні сфера теплопостачання відіграє значну роль у житті кожного українського міста. </w:t>
      </w:r>
      <w:r w:rsidRPr="00D93807">
        <w:rPr>
          <w:rFonts w:ascii="Times New Roman" w:hAnsi="Times New Roman"/>
          <w:sz w:val="28"/>
          <w:szCs w:val="28"/>
          <w:lang w:val="uk-UA" w:eastAsia="ru-RU"/>
        </w:rPr>
        <w:t xml:space="preserve">Стабільна робота підприємств теплопостачання є неодмінною умовою ефективного функціонування економіки України. 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>У тепловому господарстві України існує багато проблем, які останнім часом особливо загострилися. Серед фундаментальних чинників таких проблем чільне місце посідають: низька енергоефективність в теплоенергетичному секторі та низька якість комунальних послуг, які, в свою чергу, обумовлені моральним і фізичним зношенням теплового обладнання і теплових мереж та браком коштів на їхню модернізацію.</w:t>
      </w: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Незадовільний фінансовий та технічний стан українських підприємств теплопостачання у відповідності з узагальнюючими проблемами регіонів України вимагає потреби в інвестиціях і уважного розгляду, вивчення та розуміння виробничої ефективності теплопостачання. Фінансово – економічний стан підприємств теплопостачання продовжує залишатися на низькому рівні. Основною причиною складності реформування капіталомісткої теплоенергетики є відсутність накопичення власних фінансових коштів. </w:t>
      </w: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Посилює проблеми підприємств теплопостачання також відсутність мотивації до зниження витрат, зниження ресурсної ефективності; обмеженість фінансових коштів на відновлення основних фондів. Недостатня увага до політики технічного розвитку малої енергетики на регіональному і державному рівні, а також впровадження економічних механізмів залучення інвестицій разом з застарілою системою управління перешкоджають подальшому ефективному розвитку цього сектору економіки. </w:t>
      </w:r>
    </w:p>
    <w:p w:rsidR="004F76FA" w:rsidRPr="00D93807" w:rsidRDefault="004F76FA" w:rsidP="00D93807">
      <w:pPr>
        <w:widowControl w:val="0"/>
        <w:tabs>
          <w:tab w:val="num" w:pos="15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bCs/>
          <w:iCs/>
          <w:sz w:val="28"/>
          <w:szCs w:val="28"/>
          <w:lang w:val="uk-UA" w:eastAsia="ru-RU"/>
        </w:rPr>
        <w:t>Таким чином, д</w:t>
      </w:r>
      <w:r w:rsidRPr="00D93807">
        <w:rPr>
          <w:rFonts w:ascii="Times New Roman" w:hAnsi="Times New Roman"/>
          <w:sz w:val="28"/>
          <w:szCs w:val="28"/>
          <w:lang w:val="uk-UA" w:eastAsia="ru-RU"/>
        </w:rPr>
        <w:t>ля розв’язання ключових проблем підприємств теплопостачання слід згрупувати вирішення окремих питань по нижчеперелічених напрямках та підготувати пропозиції щодо їх розв'язання: у сфері нормативно-правового забезпечення; у сфері структурних перебудов та організаційних перетворень; у сфері технічної політики; у сфері економічної та цінової політики.</w:t>
      </w: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3807">
        <w:rPr>
          <w:rFonts w:ascii="Times New Roman" w:eastAsia="TimesNewRoman" w:hAnsi="Times New Roman"/>
          <w:sz w:val="28"/>
          <w:szCs w:val="28"/>
          <w:lang w:val="uk-UA" w:eastAsia="ru-RU"/>
        </w:rPr>
        <w:t>Розглянемо ефективність фінансово-господарської діяльності підприємств теплопостачання на прикладі КП «Харківські теплові мережі» (</w:t>
      </w:r>
      <w:r>
        <w:rPr>
          <w:rFonts w:ascii="Times New Roman" w:eastAsia="TimesNewRoman" w:hAnsi="Times New Roman"/>
          <w:sz w:val="28"/>
          <w:szCs w:val="28"/>
          <w:lang w:val="uk-UA" w:eastAsia="ru-RU"/>
        </w:rPr>
        <w:t>табл.</w:t>
      </w:r>
      <w:r w:rsidRPr="00D93807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 1).</w:t>
      </w:r>
    </w:p>
    <w:p w:rsidR="004F76FA" w:rsidRPr="00D93807" w:rsidRDefault="004F76FA" w:rsidP="00D9380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Таблиця 1 – Динаміка техніко-економічних показників 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D93807">
        <w:rPr>
          <w:rFonts w:ascii="Times New Roman" w:eastAsia="TimesNewRoman" w:hAnsi="Times New Roman"/>
          <w:sz w:val="28"/>
          <w:szCs w:val="28"/>
          <w:lang w:val="uk-UA" w:eastAsia="ru-RU"/>
        </w:rPr>
        <w:t>КП «Харківські теплові мережі»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6"/>
        <w:gridCol w:w="1087"/>
        <w:gridCol w:w="1087"/>
        <w:gridCol w:w="1087"/>
      </w:tblGrid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2012 р.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2013 р.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2014 р.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right="-111"/>
              <w:outlineLvl w:val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 w:eastAsia="ru-RU"/>
              </w:rPr>
              <w:t>Середньорічна вартість основних фондів, тис. 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77" w:right="-74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1086881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77" w:right="-74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1154261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77" w:right="-74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1288722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Фондовіддача основних фондів, грн./грн.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1,78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1,66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1,52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Фондомісткість основних фондів, грн./грн.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0,56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0,60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0,66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Матеріалоємність наданих послуг, грн./грн.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0,94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0,96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0,91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Матеріаловіддача наданих послуг, грн./грн.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1,06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1,04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1,09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Чистий дохід (виручка) від реалізації продукції (товарів, робіт, послуг), тис. 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1937299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1910868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1965212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Собівартість реалізованої продукції (товарів, робіт, послуг), тис. 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2185777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2222818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2208956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Валовий прибуток від реалізації продукції (товарів, робіт, послуг), тис. 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-248478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-311950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-243744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Чистий прибуток від реалізації продукції (товарів, робіт, послуг), тис. грн.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-16716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-431729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ind w:left="-105" w:right="-102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579664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D93807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  <w:t>Коефіцієнт оборотності оборотного капіталу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0,78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0,57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0,70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D93807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  <w:t>Коефіцієнт оборотності оборотних активів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1,00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0,71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0,98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D93807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  <w:t>Коефіцієнт оборотності кредиторської заборгованості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1,18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0,81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1,10</w:t>
            </w:r>
          </w:p>
        </w:tc>
      </w:tr>
      <w:tr w:rsidR="004F76FA" w:rsidRPr="00D93807" w:rsidTr="00D93807">
        <w:trPr>
          <w:trHeight w:val="153"/>
          <w:jc w:val="center"/>
        </w:trPr>
        <w:tc>
          <w:tcPr>
            <w:tcW w:w="6026" w:type="dxa"/>
          </w:tcPr>
          <w:p w:rsidR="004F76FA" w:rsidRPr="00D93807" w:rsidRDefault="004F76FA" w:rsidP="00D938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D93807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/>
              </w:rPr>
              <w:t>Коефіцієнт оборотності дебіторської заборгованості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1,62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1,43</w:t>
            </w:r>
          </w:p>
        </w:tc>
        <w:tc>
          <w:tcPr>
            <w:tcW w:w="1087" w:type="dxa"/>
          </w:tcPr>
          <w:p w:rsidR="004F76FA" w:rsidRPr="00D93807" w:rsidRDefault="004F76FA" w:rsidP="00D93807">
            <w:pPr>
              <w:widowControl w:val="0"/>
              <w:tabs>
                <w:tab w:val="left" w:pos="307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9380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1,27</w:t>
            </w:r>
          </w:p>
        </w:tc>
      </w:tr>
    </w:tbl>
    <w:p w:rsidR="004F76FA" w:rsidRPr="00D93807" w:rsidRDefault="004F76FA" w:rsidP="00D93807">
      <w:pPr>
        <w:widowControl w:val="0"/>
        <w:tabs>
          <w:tab w:val="left" w:pos="310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Представлені дані в табл. 1 показують, </w:t>
      </w:r>
      <w:r w:rsidRPr="00D93807">
        <w:rPr>
          <w:rFonts w:ascii="Times New Roman" w:eastAsia="TimesNewRoman" w:hAnsi="Times New Roman"/>
          <w:sz w:val="28"/>
          <w:szCs w:val="28"/>
          <w:lang w:val="uk-UA" w:eastAsia="ru-RU"/>
        </w:rPr>
        <w:t xml:space="preserve">що 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фондовіддача основних фондів невисока, і спостерігається її зменшення. Це свідчить про недостатню ефективність використання основних фондів. Середньорічна вартість основних фондів з кожним роком збільшується, в 2014 р. в порівнянні з 2012 р. збільшилась на 201841 тис. грн. </w:t>
      </w:r>
    </w:p>
    <w:p w:rsidR="004F76FA" w:rsidRPr="00D93807" w:rsidRDefault="004F76FA" w:rsidP="00D9380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3807">
        <w:rPr>
          <w:rFonts w:ascii="Times New Roman" w:hAnsi="Times New Roman"/>
          <w:sz w:val="28"/>
          <w:szCs w:val="28"/>
          <w:lang w:val="uk-UA"/>
        </w:rPr>
        <w:t xml:space="preserve">На протязі 2012-2013 рр. </w:t>
      </w:r>
      <w:r w:rsidRPr="00D93807">
        <w:rPr>
          <w:rFonts w:ascii="Times New Roman" w:hAnsi="Times New Roman"/>
          <w:bCs/>
          <w:sz w:val="28"/>
          <w:szCs w:val="28"/>
          <w:lang w:val="uk-UA" w:eastAsia="ru-RU"/>
        </w:rPr>
        <w:t>підприємство</w:t>
      </w:r>
      <w:r w:rsidRPr="00D93807">
        <w:rPr>
          <w:rFonts w:ascii="Times New Roman" w:hAnsi="Times New Roman"/>
          <w:sz w:val="28"/>
          <w:szCs w:val="28"/>
          <w:lang w:val="uk-UA"/>
        </w:rPr>
        <w:t xml:space="preserve"> працювало збитково, при цьому величина чистого збитку має тенденцію до збільшення.  </w:t>
      </w:r>
      <w:r w:rsidRPr="00D93807">
        <w:rPr>
          <w:rFonts w:ascii="Times New Roman" w:hAnsi="Times New Roman"/>
          <w:bCs/>
          <w:sz w:val="28"/>
          <w:szCs w:val="28"/>
          <w:lang w:val="uk-UA" w:eastAsia="ru-RU"/>
        </w:rPr>
        <w:t xml:space="preserve">В 2014 р. підприємство отримало чистий прибуток від надання послуг, який становить 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>579664</w:t>
      </w:r>
      <w:r w:rsidRPr="00D93807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тис. грн. </w:t>
      </w:r>
      <w:r w:rsidRPr="00D93807">
        <w:rPr>
          <w:rFonts w:ascii="Times New Roman" w:hAnsi="Times New Roman"/>
          <w:sz w:val="28"/>
          <w:szCs w:val="28"/>
          <w:lang w:val="uk-UA"/>
        </w:rPr>
        <w:t xml:space="preserve">Це є позитивною тенденцією і свідчить про покращення у господарсько-фінансовій діяльності підприємства. </w:t>
      </w:r>
    </w:p>
    <w:p w:rsidR="004F76FA" w:rsidRPr="00D93807" w:rsidRDefault="004F76FA" w:rsidP="00D93807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D93807">
        <w:rPr>
          <w:rFonts w:ascii="Times New Roman" w:hAnsi="Times New Roman"/>
          <w:sz w:val="28"/>
          <w:szCs w:val="28"/>
          <w:lang w:val="uk-UA" w:eastAsia="ru-RU"/>
        </w:rPr>
        <w:t xml:space="preserve">налізуючи коефіцієнт 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оборотності оборотних активів </w:t>
      </w:r>
      <w:r w:rsidRPr="00D93807">
        <w:rPr>
          <w:rFonts w:ascii="Times New Roman" w:hAnsi="Times New Roman"/>
          <w:sz w:val="28"/>
          <w:szCs w:val="28"/>
          <w:lang w:val="uk-UA" w:eastAsia="ru-RU"/>
        </w:rPr>
        <w:t>можна відмітити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що у 2014 році цей показник зменшився, порівняно з 2012 роком, на 2 %. В 2014 р., порівняно з 2012 роком відбулося зменшення </w:t>
      </w:r>
      <w:r w:rsidRPr="00D93807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коефіцієнта оборотності оборотного капіталу 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10,2 %, що </w:t>
      </w:r>
      <w:r w:rsidRPr="00D93807">
        <w:rPr>
          <w:rFonts w:ascii="Times New Roman" w:hAnsi="Times New Roman"/>
          <w:sz w:val="28"/>
          <w:szCs w:val="28"/>
          <w:lang w:val="uk-UA" w:eastAsia="ru-RU"/>
        </w:rPr>
        <w:t xml:space="preserve">є </w:t>
      </w:r>
      <w:r w:rsidRPr="00D93807">
        <w:rPr>
          <w:rFonts w:ascii="Times New Roman" w:hAnsi="Times New Roman"/>
          <w:color w:val="000000"/>
          <w:sz w:val="28"/>
          <w:szCs w:val="28"/>
          <w:lang w:val="uk-UA" w:eastAsia="ru-RU"/>
        </w:rPr>
        <w:t>негативним явищем, адже свідчить про зменшення обороту оборотних засобів. Негативною є тенденція до зменшення к</w:t>
      </w:r>
      <w:r w:rsidRPr="00D9380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оефіцієнта оборотності кредиторської заборгованості.</w:t>
      </w:r>
    </w:p>
    <w:p w:rsidR="004F76FA" w:rsidRPr="00D93807" w:rsidRDefault="004F76FA" w:rsidP="00D9380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807">
        <w:rPr>
          <w:rFonts w:ascii="Times New Roman" w:eastAsia="TimesNewRoman" w:hAnsi="Times New Roman"/>
          <w:sz w:val="28"/>
          <w:szCs w:val="28"/>
          <w:lang w:val="uk-UA" w:eastAsia="ru-RU"/>
        </w:rPr>
        <w:t>Таким чином, аналіз основних техніко-економічних показників роботи підприємств теплопостачання свідчить про те, що їх стан є доволі критичним.</w:t>
      </w:r>
    </w:p>
    <w:sectPr w:rsidR="004F76FA" w:rsidRPr="00D93807" w:rsidSect="00D9380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6D2F"/>
    <w:multiLevelType w:val="hybridMultilevel"/>
    <w:tmpl w:val="0B344F94"/>
    <w:lvl w:ilvl="0" w:tplc="94AE4C1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15C88"/>
    <w:multiLevelType w:val="hybridMultilevel"/>
    <w:tmpl w:val="FF062DDE"/>
    <w:lvl w:ilvl="0" w:tplc="35B6E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57426"/>
    <w:multiLevelType w:val="hybridMultilevel"/>
    <w:tmpl w:val="C74AEB82"/>
    <w:lvl w:ilvl="0" w:tplc="4D8695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D0705"/>
    <w:multiLevelType w:val="hybridMultilevel"/>
    <w:tmpl w:val="C30E9A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BEEA4B2">
      <w:start w:val="1"/>
      <w:numFmt w:val="bullet"/>
      <w:lvlText w:val=""/>
      <w:lvlJc w:val="left"/>
      <w:pPr>
        <w:tabs>
          <w:tab w:val="num" w:pos="2047"/>
        </w:tabs>
        <w:ind w:left="2047" w:firstLine="113"/>
      </w:pPr>
      <w:rPr>
        <w:rFonts w:ascii="Wingdings" w:hAnsi="Wingdings" w:hint="default"/>
      </w:rPr>
    </w:lvl>
    <w:lvl w:ilvl="2" w:tplc="E938A0A2">
      <w:start w:val="1"/>
      <w:numFmt w:val="decimal"/>
      <w:lvlText w:val="%3)"/>
      <w:lvlJc w:val="left"/>
      <w:pPr>
        <w:tabs>
          <w:tab w:val="num" w:pos="3720"/>
        </w:tabs>
        <w:ind w:left="3720" w:hanging="660"/>
      </w:pPr>
      <w:rPr>
        <w:rFonts w:cs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47A428C3"/>
    <w:multiLevelType w:val="hybridMultilevel"/>
    <w:tmpl w:val="5E960E66"/>
    <w:lvl w:ilvl="0" w:tplc="DB3C4DC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A626872"/>
    <w:multiLevelType w:val="hybridMultilevel"/>
    <w:tmpl w:val="56FED19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AB4"/>
    <w:rsid w:val="00041B0E"/>
    <w:rsid w:val="00122B11"/>
    <w:rsid w:val="001E25F8"/>
    <w:rsid w:val="00256C33"/>
    <w:rsid w:val="002A21E5"/>
    <w:rsid w:val="003818C5"/>
    <w:rsid w:val="00495222"/>
    <w:rsid w:val="004F76FA"/>
    <w:rsid w:val="00506845"/>
    <w:rsid w:val="00632AA2"/>
    <w:rsid w:val="006674B8"/>
    <w:rsid w:val="006F1415"/>
    <w:rsid w:val="00712C36"/>
    <w:rsid w:val="007804F8"/>
    <w:rsid w:val="00874D68"/>
    <w:rsid w:val="008B241A"/>
    <w:rsid w:val="00974EC5"/>
    <w:rsid w:val="009B3791"/>
    <w:rsid w:val="00A02D48"/>
    <w:rsid w:val="00A546B5"/>
    <w:rsid w:val="00B8607B"/>
    <w:rsid w:val="00BC4920"/>
    <w:rsid w:val="00C55AB4"/>
    <w:rsid w:val="00CC0DE4"/>
    <w:rsid w:val="00D93807"/>
    <w:rsid w:val="00DF62D9"/>
    <w:rsid w:val="00E5208C"/>
    <w:rsid w:val="00E864A9"/>
    <w:rsid w:val="00EB337B"/>
    <w:rsid w:val="00EB6E07"/>
    <w:rsid w:val="00EC5BEC"/>
    <w:rsid w:val="00FA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9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241A"/>
    <w:pPr>
      <w:ind w:left="720"/>
      <w:contextualSpacing/>
    </w:pPr>
  </w:style>
  <w:style w:type="paragraph" w:customStyle="1" w:styleId="Default">
    <w:name w:val="Default"/>
    <w:uiPriority w:val="99"/>
    <w:rsid w:val="00122B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Знак"/>
    <w:basedOn w:val="Normal"/>
    <w:uiPriority w:val="99"/>
    <w:rsid w:val="00A546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678</Words>
  <Characters>3868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Admincht</cp:lastModifiedBy>
  <cp:revision>16</cp:revision>
  <dcterms:created xsi:type="dcterms:W3CDTF">2015-01-21T18:07:00Z</dcterms:created>
  <dcterms:modified xsi:type="dcterms:W3CDTF">2016-02-01T13:07:00Z</dcterms:modified>
</cp:coreProperties>
</file>