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2C" w:rsidRDefault="004E5536" w:rsidP="00AA2933">
      <w:pPr>
        <w:jc w:val="center"/>
        <w:rPr>
          <w:b/>
          <w:lang w:val="uk-UA"/>
        </w:rPr>
      </w:pPr>
      <w:r>
        <w:rPr>
          <w:b/>
          <w:lang w:val="uk-UA"/>
        </w:rPr>
        <w:t>ОРГАНІЗАЦІЯ</w:t>
      </w:r>
      <w:r w:rsidR="00AA2933" w:rsidRPr="00AA2933">
        <w:rPr>
          <w:b/>
          <w:lang w:val="uk-UA"/>
        </w:rPr>
        <w:t xml:space="preserve"> ВНУТРІШНЬОГО АУДИТУ РОЗРАХУНКІВ ІЗ СПОЖИВАЧАМИ І ПОСТАЧАЛЬНИКАМИ В СИСТЕМІ УПРАВЛІННЯ </w:t>
      </w:r>
      <w:r w:rsidR="00D33925">
        <w:rPr>
          <w:b/>
          <w:lang w:val="uk-UA"/>
        </w:rPr>
        <w:t>ПІДПРИЄМСТВАМИ</w:t>
      </w:r>
      <w:r w:rsidR="00AA2933" w:rsidRPr="00AA2933">
        <w:rPr>
          <w:b/>
          <w:lang w:val="uk-UA"/>
        </w:rPr>
        <w:t xml:space="preserve"> </w:t>
      </w:r>
      <w:r w:rsidR="00D33925">
        <w:rPr>
          <w:b/>
          <w:lang w:val="uk-UA"/>
        </w:rPr>
        <w:t>ВОДОПОСТАЧАННЯ ТА ВОДОВІДВЕДЕННЯ</w:t>
      </w:r>
    </w:p>
    <w:p w:rsidR="00AA2933" w:rsidRDefault="00AA2933" w:rsidP="00AA2933">
      <w:pPr>
        <w:jc w:val="center"/>
        <w:rPr>
          <w:b/>
          <w:lang w:val="uk-UA"/>
        </w:rPr>
      </w:pPr>
    </w:p>
    <w:p w:rsidR="00AA2933" w:rsidRPr="00691C65" w:rsidRDefault="007F1626" w:rsidP="00AA2933">
      <w:pPr>
        <w:jc w:val="both"/>
        <w:rPr>
          <w:i/>
          <w:lang w:val="uk-UA"/>
        </w:rPr>
      </w:pPr>
      <w:r>
        <w:rPr>
          <w:b/>
          <w:i/>
          <w:lang w:val="uk-UA"/>
        </w:rPr>
        <w:t xml:space="preserve">Мізік Ю. І., </w:t>
      </w:r>
      <w:r>
        <w:rPr>
          <w:i/>
          <w:lang w:val="uk-UA"/>
        </w:rPr>
        <w:t xml:space="preserve">канд. екон. наук, доц. </w:t>
      </w:r>
      <w:r w:rsidR="00AA2933" w:rsidRPr="004431E2">
        <w:rPr>
          <w:b/>
          <w:i/>
          <w:lang w:val="uk-UA"/>
        </w:rPr>
        <w:t>Сінцова О. І.</w:t>
      </w:r>
      <w:r w:rsidR="00AA2933">
        <w:rPr>
          <w:i/>
          <w:lang w:val="uk-UA"/>
        </w:rPr>
        <w:t xml:space="preserve">, </w:t>
      </w:r>
      <w:r w:rsidR="002A4A15">
        <w:rPr>
          <w:i/>
          <w:lang w:val="uk-UA"/>
        </w:rPr>
        <w:t>магістр,</w:t>
      </w:r>
      <w:r w:rsidR="004E5536">
        <w:rPr>
          <w:i/>
          <w:lang w:val="uk-UA"/>
        </w:rPr>
        <w:t xml:space="preserve"> </w:t>
      </w:r>
      <w:r w:rsidR="004E5536" w:rsidRPr="004E5536">
        <w:rPr>
          <w:b/>
          <w:i/>
          <w:lang w:val="uk-UA"/>
        </w:rPr>
        <w:t>Дмитрієва Н. О.</w:t>
      </w:r>
      <w:r w:rsidR="004E5536">
        <w:rPr>
          <w:i/>
          <w:lang w:val="uk-UA"/>
        </w:rPr>
        <w:t>, магістр,</w:t>
      </w:r>
      <w:r w:rsidR="002A4A15">
        <w:rPr>
          <w:i/>
          <w:lang w:val="uk-UA"/>
        </w:rPr>
        <w:t xml:space="preserve"> </w:t>
      </w:r>
      <w:r w:rsidR="00AA2933">
        <w:rPr>
          <w:i/>
          <w:lang w:val="uk-UA"/>
        </w:rPr>
        <w:t>Харківський національний університет міського господарства імені О. М. Бекетова</w:t>
      </w:r>
    </w:p>
    <w:p w:rsidR="00AA2933" w:rsidRDefault="00AA2933" w:rsidP="00AA2933">
      <w:pPr>
        <w:rPr>
          <w:lang w:val="uk-UA"/>
        </w:rPr>
      </w:pPr>
    </w:p>
    <w:p w:rsidR="00AA2933" w:rsidRDefault="00AA2933" w:rsidP="00B71C3C">
      <w:pPr>
        <w:ind w:firstLine="709"/>
        <w:jc w:val="both"/>
        <w:rPr>
          <w:lang w:val="uk-UA"/>
        </w:rPr>
      </w:pPr>
      <w:r>
        <w:rPr>
          <w:lang w:val="uk-UA"/>
        </w:rPr>
        <w:t xml:space="preserve">В сучасних умовах підприємства </w:t>
      </w:r>
      <w:r w:rsidR="00B71C3C">
        <w:rPr>
          <w:lang w:val="uk-UA"/>
        </w:rPr>
        <w:t>змушені об’єктивно оцінювати свій фінансовий стан, платоспроможність та кредитоспроможність своїх контраген</w:t>
      </w:r>
      <w:r w:rsidR="005E36ED">
        <w:rPr>
          <w:lang w:val="uk-UA"/>
        </w:rPr>
        <w:t>т</w:t>
      </w:r>
      <w:r w:rsidR="00B71C3C">
        <w:rPr>
          <w:lang w:val="uk-UA"/>
        </w:rPr>
        <w:t>ів, адже ці показники безпосередньо впливають на фінансові результати п</w:t>
      </w:r>
      <w:r w:rsidR="004E5536">
        <w:rPr>
          <w:lang w:val="uk-UA"/>
        </w:rPr>
        <w:t>ідприємства</w:t>
      </w:r>
      <w:r w:rsidR="00B71C3C">
        <w:rPr>
          <w:lang w:val="uk-UA"/>
        </w:rPr>
        <w:t xml:space="preserve">. Тому для підтримки фінансової стабільності, яка розвивається у </w:t>
      </w:r>
      <w:r w:rsidR="00810F99">
        <w:rPr>
          <w:lang w:val="uk-UA"/>
        </w:rPr>
        <w:t>мінливому</w:t>
      </w:r>
      <w:r w:rsidR="00B71C3C">
        <w:rPr>
          <w:lang w:val="uk-UA"/>
        </w:rPr>
        <w:t xml:space="preserve"> середовищі, необхідно забезпечити своєчасність надходження коштів від покупців та </w:t>
      </w:r>
      <w:r w:rsidR="00F65B95">
        <w:rPr>
          <w:lang w:val="uk-UA"/>
        </w:rPr>
        <w:t xml:space="preserve">створити умови для </w:t>
      </w:r>
      <w:r w:rsidR="00B71C3C">
        <w:rPr>
          <w:lang w:val="uk-UA"/>
        </w:rPr>
        <w:t>відстрочк</w:t>
      </w:r>
      <w:r w:rsidR="00F65B95">
        <w:rPr>
          <w:lang w:val="uk-UA"/>
        </w:rPr>
        <w:t>и</w:t>
      </w:r>
      <w:r w:rsidR="00B71C3C">
        <w:rPr>
          <w:lang w:val="uk-UA"/>
        </w:rPr>
        <w:t xml:space="preserve"> по своїм короткостроковим зобов’язанням. </w:t>
      </w:r>
    </w:p>
    <w:p w:rsidR="00810F99" w:rsidRDefault="00810F99" w:rsidP="00B71C3C">
      <w:pPr>
        <w:ind w:firstLine="709"/>
        <w:jc w:val="both"/>
        <w:rPr>
          <w:lang w:val="uk-UA"/>
        </w:rPr>
      </w:pPr>
      <w:r>
        <w:rPr>
          <w:szCs w:val="28"/>
          <w:lang w:val="uk-UA"/>
        </w:rPr>
        <w:t>Взаємовідносини між підприємствами, організаціями і установами, а також ними і населенням мають важливу роль у житлово-комунальному господарстві міста, адже являє собою сферу, метою функціонування якої є забезпечення умов належного рівня життєдіяльності населення та функціонування міст, надання якісних послуг.</w:t>
      </w:r>
    </w:p>
    <w:p w:rsidR="00ED63F3" w:rsidRPr="004E5536" w:rsidRDefault="00ED63F3" w:rsidP="001C1BD3">
      <w:pPr>
        <w:ind w:firstLine="709"/>
        <w:jc w:val="both"/>
        <w:rPr>
          <w:lang w:val="uk-UA"/>
        </w:rPr>
      </w:pPr>
      <w:r>
        <w:rPr>
          <w:lang w:val="uk-UA"/>
        </w:rPr>
        <w:t xml:space="preserve">В умовах існуючої кризи розрахунки з дебіторами та кредиторами на вітчизняних підприємствах </w:t>
      </w:r>
      <w:r w:rsidR="00D33925">
        <w:rPr>
          <w:lang w:val="uk-UA"/>
        </w:rPr>
        <w:t>водопостачання та водовідведення</w:t>
      </w:r>
      <w:r w:rsidR="00D33925" w:rsidRPr="00FE0CDF">
        <w:rPr>
          <w:lang w:val="uk-UA"/>
        </w:rPr>
        <w:t xml:space="preserve"> </w:t>
      </w:r>
      <w:r w:rsidR="00FE0CDF" w:rsidRPr="00FE0CDF">
        <w:rPr>
          <w:lang w:val="uk-UA"/>
        </w:rPr>
        <w:t>мають н</w:t>
      </w:r>
      <w:r w:rsidR="00CB1B63">
        <w:rPr>
          <w:lang w:val="uk-UA"/>
        </w:rPr>
        <w:t xml:space="preserve">егативні </w:t>
      </w:r>
      <w:r w:rsidR="001C1BD3">
        <w:rPr>
          <w:lang w:val="uk-UA"/>
        </w:rPr>
        <w:t>п</w:t>
      </w:r>
      <w:r w:rsidR="00CB1B63">
        <w:rPr>
          <w:lang w:val="uk-UA"/>
        </w:rPr>
        <w:t>оказники</w:t>
      </w:r>
      <w:r>
        <w:rPr>
          <w:lang w:val="uk-UA"/>
        </w:rPr>
        <w:t xml:space="preserve">, </w:t>
      </w:r>
      <w:r w:rsidR="004E5536">
        <w:rPr>
          <w:lang w:val="uk-UA"/>
        </w:rPr>
        <w:t>які характеризуються значними сумами заборгованостей та тривалими термінами</w:t>
      </w:r>
      <w:r>
        <w:rPr>
          <w:lang w:val="uk-UA"/>
        </w:rPr>
        <w:t xml:space="preserve"> їх погашення. </w:t>
      </w:r>
      <w:r w:rsidR="00197448">
        <w:rPr>
          <w:lang w:val="uk-UA"/>
        </w:rPr>
        <w:t>Згідно із статистикою н</w:t>
      </w:r>
      <w:r w:rsidR="001C1BD3">
        <w:rPr>
          <w:lang w:val="uk-UA"/>
        </w:rPr>
        <w:t xml:space="preserve">а початку 2019 року заборгованість </w:t>
      </w:r>
      <w:r w:rsidR="00197448">
        <w:rPr>
          <w:lang w:val="uk-UA"/>
        </w:rPr>
        <w:t>населення зі</w:t>
      </w:r>
      <w:r w:rsidR="001C1BD3" w:rsidRPr="001C1BD3">
        <w:rPr>
          <w:lang w:val="uk-UA"/>
        </w:rPr>
        <w:t xml:space="preserve"> сплати за житлово-комунальні послуги</w:t>
      </w:r>
      <w:r w:rsidR="001C1BD3">
        <w:rPr>
          <w:lang w:val="uk-UA"/>
        </w:rPr>
        <w:t xml:space="preserve"> склала </w:t>
      </w:r>
      <w:r w:rsidR="001C1BD3" w:rsidRPr="001C1BD3">
        <w:rPr>
          <w:lang w:val="uk-UA"/>
        </w:rPr>
        <w:t>69,4 млрд грн.</w:t>
      </w:r>
      <w:r w:rsidR="001C1BD3">
        <w:rPr>
          <w:lang w:val="uk-UA"/>
        </w:rPr>
        <w:t>, що на 8,1% менше ніж у 2018 році. При цьому, слід зазначити, що у розрізі послуг показники водопостачання та водовідведення зменшились на 1,1% (</w:t>
      </w:r>
      <w:r w:rsidR="001C1BD3" w:rsidRPr="001C1BD3">
        <w:rPr>
          <w:color w:val="000000"/>
          <w:szCs w:val="28"/>
          <w:shd w:val="clear" w:color="auto" w:fill="FFFFFF"/>
        </w:rPr>
        <w:t>89,2%</w:t>
      </w:r>
      <w:r w:rsidR="001C1BD3">
        <w:rPr>
          <w:color w:val="000000"/>
          <w:szCs w:val="28"/>
          <w:shd w:val="clear" w:color="auto" w:fill="FFFFFF"/>
          <w:lang w:val="uk-UA"/>
        </w:rPr>
        <w:t xml:space="preserve"> у 2018 році та </w:t>
      </w:r>
      <w:r w:rsidR="001C1BD3" w:rsidRPr="001C1BD3">
        <w:rPr>
          <w:color w:val="000000"/>
          <w:szCs w:val="28"/>
          <w:shd w:val="clear" w:color="auto" w:fill="FFFFFF"/>
          <w:lang w:val="uk-UA"/>
        </w:rPr>
        <w:t>88,1%</w:t>
      </w:r>
      <w:r w:rsidR="001C1BD3">
        <w:rPr>
          <w:color w:val="000000"/>
          <w:szCs w:val="28"/>
          <w:shd w:val="clear" w:color="auto" w:fill="FFFFFF"/>
          <w:lang w:val="uk-UA"/>
        </w:rPr>
        <w:t xml:space="preserve"> у 2019 році). Але, незважаючи на це, розмір дебіторської заборгованості споживачів перед комунальними підприємствами </w:t>
      </w:r>
      <w:r w:rsidR="00197448">
        <w:rPr>
          <w:color w:val="000000"/>
          <w:szCs w:val="28"/>
          <w:shd w:val="clear" w:color="auto" w:fill="FFFFFF"/>
          <w:lang w:val="uk-UA"/>
        </w:rPr>
        <w:t xml:space="preserve">досі залишається дуже великим </w:t>
      </w:r>
      <w:r w:rsidR="00833A08" w:rsidRPr="00833A08">
        <w:rPr>
          <w:color w:val="000000"/>
          <w:szCs w:val="28"/>
          <w:shd w:val="clear" w:color="auto" w:fill="FFFFFF"/>
        </w:rPr>
        <w:t>[1]</w:t>
      </w:r>
      <w:r w:rsidR="004E5536">
        <w:rPr>
          <w:color w:val="000000"/>
          <w:szCs w:val="28"/>
          <w:shd w:val="clear" w:color="auto" w:fill="FFFFFF"/>
          <w:lang w:val="uk-UA"/>
        </w:rPr>
        <w:t>.</w:t>
      </w:r>
      <w:r w:rsidR="0070729B">
        <w:rPr>
          <w:color w:val="000000"/>
          <w:szCs w:val="28"/>
          <w:shd w:val="clear" w:color="auto" w:fill="FFFFFF"/>
        </w:rPr>
        <w:t xml:space="preserve"> </w:t>
      </w:r>
      <w:r w:rsidR="00197448">
        <w:rPr>
          <w:color w:val="000000"/>
          <w:szCs w:val="28"/>
          <w:shd w:val="clear" w:color="auto" w:fill="FFFFFF"/>
          <w:lang w:val="uk-UA"/>
        </w:rPr>
        <w:t xml:space="preserve">Також, за даними державної служби статистики України </w:t>
      </w:r>
      <w:r w:rsidR="00197448" w:rsidRPr="00197448">
        <w:rPr>
          <w:color w:val="000000"/>
          <w:szCs w:val="28"/>
          <w:shd w:val="clear" w:color="auto" w:fill="FFFFFF"/>
          <w:lang w:val="uk-UA"/>
        </w:rPr>
        <w:t>заборгованість населення за спожиті житлово-комунальні послуги (без урахування газу та електроенергії) по підприємствах усіх форм власності станом на 1 квітня 2019 року становила 31,05 млрд гривень (станом на 1 січня 2019 року – 24,4 млрд грн.), в тому числі за</w:t>
      </w:r>
      <w:r w:rsidR="00197448">
        <w:rPr>
          <w:color w:val="000000"/>
          <w:szCs w:val="28"/>
          <w:shd w:val="clear" w:color="auto" w:fill="FFFFFF"/>
          <w:lang w:val="uk-UA"/>
        </w:rPr>
        <w:t xml:space="preserve"> </w:t>
      </w:r>
      <w:r w:rsidR="00197448" w:rsidRPr="00197448">
        <w:rPr>
          <w:color w:val="000000"/>
          <w:szCs w:val="28"/>
          <w:shd w:val="clear" w:color="auto" w:fill="FFFFFF"/>
          <w:lang w:val="uk-UA"/>
        </w:rPr>
        <w:t xml:space="preserve">водопостачання та водовідведення – 3 431,7 млн грн (або 11% від загальної заборгованості) </w:t>
      </w:r>
      <w:r w:rsidR="00197448" w:rsidRPr="00197448">
        <w:rPr>
          <w:color w:val="000000"/>
          <w:szCs w:val="28"/>
          <w:shd w:val="clear" w:color="auto" w:fill="FFFFFF"/>
        </w:rPr>
        <w:t>[</w:t>
      </w:r>
      <w:r w:rsidR="00833A08" w:rsidRPr="004A5CB5">
        <w:rPr>
          <w:color w:val="000000"/>
          <w:szCs w:val="28"/>
          <w:shd w:val="clear" w:color="auto" w:fill="FFFFFF"/>
        </w:rPr>
        <w:t>2</w:t>
      </w:r>
      <w:r w:rsidR="00197448" w:rsidRPr="00197448">
        <w:rPr>
          <w:color w:val="000000"/>
          <w:szCs w:val="28"/>
          <w:shd w:val="clear" w:color="auto" w:fill="FFFFFF"/>
        </w:rPr>
        <w:t>]</w:t>
      </w:r>
      <w:r w:rsidR="004E5536">
        <w:rPr>
          <w:color w:val="000000"/>
          <w:szCs w:val="28"/>
          <w:shd w:val="clear" w:color="auto" w:fill="FFFFFF"/>
          <w:lang w:val="uk-UA"/>
        </w:rPr>
        <w:t>.</w:t>
      </w:r>
    </w:p>
    <w:p w:rsidR="00ED63F3" w:rsidRPr="008145CE" w:rsidRDefault="00ED63F3" w:rsidP="00ED63F3">
      <w:pPr>
        <w:ind w:firstLine="709"/>
        <w:jc w:val="both"/>
        <w:rPr>
          <w:lang w:val="uk-UA"/>
        </w:rPr>
      </w:pPr>
      <w:r>
        <w:rPr>
          <w:lang w:val="uk-UA"/>
        </w:rPr>
        <w:t xml:space="preserve">Чітка організація розрахунків між постачальниками та споживачами має значний вплив на прискорення оборотності оборотних коштів та їх своєчасне надходження. У зв’язку з цим виникає необхідність проведення </w:t>
      </w:r>
      <w:r w:rsidR="004E5536">
        <w:rPr>
          <w:lang w:val="uk-UA"/>
        </w:rPr>
        <w:t xml:space="preserve">внутрішнього </w:t>
      </w:r>
      <w:r>
        <w:rPr>
          <w:lang w:val="uk-UA"/>
        </w:rPr>
        <w:t>аудиту розрахунків</w:t>
      </w:r>
      <w:r w:rsidR="004E5536">
        <w:rPr>
          <w:lang w:val="uk-UA"/>
        </w:rPr>
        <w:t>, спрямованого на поліпшення організації</w:t>
      </w:r>
      <w:r w:rsidR="005E36ED">
        <w:rPr>
          <w:lang w:val="uk-UA"/>
        </w:rPr>
        <w:t xml:space="preserve"> контролю за дебіторською та кредиторською заборгованостями, що призведе до дотримання  термінів платежів та </w:t>
      </w:r>
      <w:r w:rsidR="002A4A15">
        <w:rPr>
          <w:lang w:val="uk-UA"/>
        </w:rPr>
        <w:t>не доведення</w:t>
      </w:r>
      <w:r w:rsidR="005E36ED">
        <w:rPr>
          <w:lang w:val="uk-UA"/>
        </w:rPr>
        <w:t xml:space="preserve"> заборгованості до стану безнадійної. </w:t>
      </w:r>
    </w:p>
    <w:p w:rsidR="00635CB3" w:rsidRDefault="00D34A01" w:rsidP="00197448">
      <w:pPr>
        <w:ind w:firstLine="709"/>
        <w:jc w:val="both"/>
        <w:rPr>
          <w:lang w:val="uk-UA"/>
        </w:rPr>
      </w:pPr>
      <w:r>
        <w:rPr>
          <w:lang w:val="uk-UA"/>
        </w:rPr>
        <w:t xml:space="preserve">Господарська діяльність підприємств </w:t>
      </w:r>
      <w:r w:rsidR="00807B12">
        <w:rPr>
          <w:lang w:val="uk-UA"/>
        </w:rPr>
        <w:t xml:space="preserve">водопостачання та водовідведення </w:t>
      </w:r>
      <w:r>
        <w:rPr>
          <w:lang w:val="uk-UA"/>
        </w:rPr>
        <w:t xml:space="preserve">неможлива без контролю, тобто без систематичного спостереження, моніторингу, перевірок діяльності та фінансового аналізу, </w:t>
      </w:r>
      <w:r w:rsidR="004E5536">
        <w:rPr>
          <w:lang w:val="uk-UA"/>
        </w:rPr>
        <w:t>зокрема динаміки</w:t>
      </w:r>
      <w:r>
        <w:rPr>
          <w:lang w:val="uk-UA"/>
        </w:rPr>
        <w:t xml:space="preserve"> та структур</w:t>
      </w:r>
      <w:r w:rsidR="004E5536">
        <w:rPr>
          <w:lang w:val="uk-UA"/>
        </w:rPr>
        <w:t>и</w:t>
      </w:r>
      <w:r>
        <w:rPr>
          <w:lang w:val="uk-UA"/>
        </w:rPr>
        <w:t xml:space="preserve"> дебіторської та кредиторської заборгованості. </w:t>
      </w:r>
      <w:r w:rsidR="00635CB3">
        <w:rPr>
          <w:lang w:val="uk-UA"/>
        </w:rPr>
        <w:t xml:space="preserve">Сфера розрахунків з </w:t>
      </w:r>
      <w:r w:rsidR="00635CB3">
        <w:rPr>
          <w:lang w:val="uk-UA"/>
        </w:rPr>
        <w:lastRenderedPageBreak/>
        <w:t>дебіторами та кредиторами в системі управління підприємствами водо</w:t>
      </w:r>
      <w:r w:rsidR="004E5536">
        <w:rPr>
          <w:lang w:val="uk-UA"/>
        </w:rPr>
        <w:t>постачання та водовідведення далека від досконалої.</w:t>
      </w:r>
    </w:p>
    <w:p w:rsidR="00807B12" w:rsidRPr="004A5CB5" w:rsidRDefault="00E12D1A" w:rsidP="00ED63F3">
      <w:pPr>
        <w:ind w:firstLine="709"/>
        <w:jc w:val="both"/>
        <w:rPr>
          <w:lang w:val="uk-UA"/>
        </w:rPr>
      </w:pPr>
      <w:r>
        <w:rPr>
          <w:lang w:val="uk-UA"/>
        </w:rPr>
        <w:t>Значну увагу практичним та теоретичним аспектам шляхів вдосконалення внутрішнього контролю підприємств розрахунків з дебіторами та кред</w:t>
      </w:r>
      <w:r w:rsidR="004E5536">
        <w:rPr>
          <w:lang w:val="uk-UA"/>
        </w:rPr>
        <w:t>иторами приділяли такі науковці</w:t>
      </w:r>
      <w:r w:rsidR="000453F4">
        <w:rPr>
          <w:lang w:val="uk-UA"/>
        </w:rPr>
        <w:t>.</w:t>
      </w:r>
      <w:r w:rsidR="00C07182">
        <w:rPr>
          <w:lang w:val="uk-UA"/>
        </w:rPr>
        <w:t xml:space="preserve"> </w:t>
      </w:r>
      <w:r w:rsidR="00C07182" w:rsidRPr="004A5CB5">
        <w:rPr>
          <w:lang w:val="uk-UA"/>
        </w:rPr>
        <w:t>[</w:t>
      </w:r>
      <w:r w:rsidR="00833A08" w:rsidRPr="004A5CB5">
        <w:rPr>
          <w:lang w:val="uk-UA"/>
        </w:rPr>
        <w:t>3</w:t>
      </w:r>
      <w:r w:rsidR="001B1850" w:rsidRPr="004A5CB5">
        <w:rPr>
          <w:lang w:val="uk-UA"/>
        </w:rPr>
        <w:t xml:space="preserve">, </w:t>
      </w:r>
      <w:r w:rsidR="00833A08" w:rsidRPr="004A5CB5">
        <w:rPr>
          <w:lang w:val="uk-UA"/>
        </w:rPr>
        <w:t>4</w:t>
      </w:r>
      <w:r w:rsidR="00C07182" w:rsidRPr="004A5CB5">
        <w:rPr>
          <w:lang w:val="uk-UA"/>
        </w:rPr>
        <w:t>]</w:t>
      </w:r>
    </w:p>
    <w:p w:rsidR="00F5418B" w:rsidRDefault="00F5418B" w:rsidP="00F5418B">
      <w:pPr>
        <w:ind w:firstLine="709"/>
        <w:jc w:val="both"/>
        <w:rPr>
          <w:lang w:val="uk-UA"/>
        </w:rPr>
      </w:pPr>
      <w:r w:rsidRPr="00F5418B">
        <w:rPr>
          <w:lang w:val="uk-UA"/>
        </w:rPr>
        <w:t xml:space="preserve">Метою </w:t>
      </w:r>
      <w:r w:rsidR="001C1BD3">
        <w:rPr>
          <w:lang w:val="uk-UA"/>
        </w:rPr>
        <w:t xml:space="preserve">внутрішнього </w:t>
      </w:r>
      <w:r w:rsidRPr="00F5418B">
        <w:rPr>
          <w:lang w:val="uk-UA"/>
        </w:rPr>
        <w:t xml:space="preserve">аудиту </w:t>
      </w:r>
      <w:r>
        <w:rPr>
          <w:lang w:val="uk-UA"/>
        </w:rPr>
        <w:t xml:space="preserve">розрахунків з дебіторами та кредиторами є встановлення об’єктивної </w:t>
      </w:r>
      <w:r w:rsidRPr="00F5418B">
        <w:rPr>
          <w:lang w:val="uk-UA"/>
        </w:rPr>
        <w:t>інформації про суми зобов’язань, відоб</w:t>
      </w:r>
      <w:r>
        <w:rPr>
          <w:lang w:val="uk-UA"/>
        </w:rPr>
        <w:t xml:space="preserve">ражених у фінансової звітності, </w:t>
      </w:r>
      <w:r w:rsidRPr="00F5418B">
        <w:rPr>
          <w:lang w:val="uk-UA"/>
        </w:rPr>
        <w:t>складання думки про достов</w:t>
      </w:r>
      <w:r>
        <w:rPr>
          <w:lang w:val="uk-UA"/>
        </w:rPr>
        <w:t xml:space="preserve">ірність, законність, повноту та </w:t>
      </w:r>
      <w:r w:rsidRPr="00F5418B">
        <w:rPr>
          <w:lang w:val="uk-UA"/>
        </w:rPr>
        <w:t>об’єктивність відображених у бухгалтерському обліку і фінансовій звітності</w:t>
      </w:r>
      <w:r>
        <w:rPr>
          <w:lang w:val="uk-UA"/>
        </w:rPr>
        <w:t xml:space="preserve"> </w:t>
      </w:r>
      <w:r w:rsidR="00BC418F">
        <w:rPr>
          <w:lang w:val="uk-UA"/>
        </w:rPr>
        <w:t>розрахунів</w:t>
      </w:r>
      <w:r w:rsidR="001C1BD3">
        <w:rPr>
          <w:lang w:val="uk-UA"/>
        </w:rPr>
        <w:t>.</w:t>
      </w:r>
    </w:p>
    <w:p w:rsidR="00A8505E" w:rsidRDefault="00A8505E" w:rsidP="00F5418B">
      <w:pPr>
        <w:ind w:firstLine="709"/>
        <w:jc w:val="both"/>
        <w:rPr>
          <w:lang w:val="uk-UA"/>
        </w:rPr>
      </w:pPr>
      <w:r>
        <w:rPr>
          <w:lang w:val="uk-UA"/>
        </w:rPr>
        <w:t xml:space="preserve">Для досягнення поставленої мети необхідно отримати аудиторські докази за допомогою використання різних прийомів та джерел. Основними джерелами внутрішнього аудиту розрахунків із споживачами і постачальниками на підприємствах водопостачання та водовідведення можуть бути </w:t>
      </w:r>
      <w:r w:rsidRPr="00A8505E">
        <w:rPr>
          <w:lang w:val="uk-UA"/>
        </w:rPr>
        <w:t xml:space="preserve">законодавчі </w:t>
      </w:r>
      <w:r>
        <w:rPr>
          <w:lang w:val="uk-UA"/>
        </w:rPr>
        <w:t>і нормативні акти, наказ про облікову політику, акти, журнали, облікові реєстри, звітність, відомості, платіжні доручення та ін.</w:t>
      </w:r>
    </w:p>
    <w:p w:rsidR="00C375D5" w:rsidRDefault="00C375D5" w:rsidP="00C375D5">
      <w:pPr>
        <w:ind w:firstLine="709"/>
        <w:jc w:val="both"/>
        <w:rPr>
          <w:lang w:val="uk-UA"/>
        </w:rPr>
      </w:pPr>
      <w:r>
        <w:rPr>
          <w:lang w:val="uk-UA"/>
        </w:rPr>
        <w:t>Для ефективного проведення внутрішнього аудиту розрахунків з дебіторами та кредиторами аудитору необхідно  визначити, які прийоми та методи будуть використовуватись для отримання аудиторських доказів, а також склас</w:t>
      </w:r>
      <w:r w:rsidR="002A4A15">
        <w:rPr>
          <w:lang w:val="uk-UA"/>
        </w:rPr>
        <w:t>ти програму аудиту розрахунків з</w:t>
      </w:r>
      <w:r>
        <w:rPr>
          <w:lang w:val="uk-UA"/>
        </w:rPr>
        <w:t xml:space="preserve"> постачальниками та споживачами. </w:t>
      </w:r>
    </w:p>
    <w:p w:rsidR="00494754" w:rsidRDefault="00494754" w:rsidP="008145CE">
      <w:pPr>
        <w:ind w:firstLine="709"/>
        <w:jc w:val="both"/>
        <w:rPr>
          <w:lang w:val="uk-UA"/>
        </w:rPr>
      </w:pPr>
      <w:r>
        <w:rPr>
          <w:lang w:val="uk-UA"/>
        </w:rPr>
        <w:t xml:space="preserve">Під час підготовки і планування перевірки аудитор визначає мету та основні завдання перевірки. Після чого необхідно скласти програму розрахунків відповідно до поставлених цілей. Програма перевірки повинна допомогти аудитору виявити існуючі порушення. </w:t>
      </w:r>
      <w:r w:rsidR="00AD58A3">
        <w:rPr>
          <w:lang w:val="uk-UA"/>
        </w:rPr>
        <w:t>У таблиці</w:t>
      </w:r>
      <w:r w:rsidR="00BC418F">
        <w:rPr>
          <w:lang w:val="uk-UA"/>
        </w:rPr>
        <w:t xml:space="preserve"> 1</w:t>
      </w:r>
      <w:r w:rsidR="00AD58A3">
        <w:rPr>
          <w:lang w:val="uk-UA"/>
        </w:rPr>
        <w:t xml:space="preserve"> запропоновано </w:t>
      </w:r>
      <w:r w:rsidR="00C754F4">
        <w:rPr>
          <w:lang w:val="uk-UA"/>
        </w:rPr>
        <w:t xml:space="preserve">порядок проведення та </w:t>
      </w:r>
      <w:r w:rsidR="00AD58A3">
        <w:rPr>
          <w:lang w:val="uk-UA"/>
        </w:rPr>
        <w:t>основні аудиторські процедури</w:t>
      </w:r>
      <w:r>
        <w:rPr>
          <w:lang w:val="uk-UA"/>
        </w:rPr>
        <w:t xml:space="preserve"> перевірки розрахунків із споживачами та постачальниками</w:t>
      </w:r>
      <w:r w:rsidR="00AD58A3">
        <w:rPr>
          <w:lang w:val="uk-UA"/>
        </w:rPr>
        <w:t xml:space="preserve"> на комунальних підприємствах водопостачання та водовідведення.</w:t>
      </w:r>
    </w:p>
    <w:p w:rsidR="005E36ED" w:rsidRDefault="00AD58A3" w:rsidP="00AD58A3">
      <w:pPr>
        <w:ind w:firstLine="709"/>
        <w:jc w:val="center"/>
        <w:rPr>
          <w:lang w:val="uk-UA"/>
        </w:rPr>
      </w:pPr>
      <w:r>
        <w:rPr>
          <w:lang w:val="uk-UA"/>
        </w:rPr>
        <w:t>Таблиця 1 – Порядок проведення внутрішнього аудиту</w:t>
      </w:r>
      <w:r w:rsidRPr="00AD58A3">
        <w:rPr>
          <w:lang w:val="uk-UA"/>
        </w:rPr>
        <w:t xml:space="preserve"> </w:t>
      </w:r>
      <w:r>
        <w:rPr>
          <w:lang w:val="uk-UA"/>
        </w:rPr>
        <w:t>розрахунків із споживачами та постачальниками</w:t>
      </w:r>
    </w:p>
    <w:p w:rsidR="00BC418F" w:rsidRPr="00D34A01" w:rsidRDefault="00BC418F" w:rsidP="00AD58A3">
      <w:pPr>
        <w:ind w:firstLine="709"/>
        <w:jc w:val="center"/>
        <w:rPr>
          <w:lang w:val="uk-UA"/>
        </w:rPr>
      </w:pPr>
    </w:p>
    <w:tbl>
      <w:tblPr>
        <w:tblStyle w:val="a3"/>
        <w:tblW w:w="5000" w:type="pct"/>
        <w:tblLook w:val="04A0" w:firstRow="1" w:lastRow="0" w:firstColumn="1" w:lastColumn="0" w:noHBand="0" w:noVBand="1"/>
      </w:tblPr>
      <w:tblGrid>
        <w:gridCol w:w="2014"/>
        <w:gridCol w:w="2475"/>
        <w:gridCol w:w="5365"/>
      </w:tblGrid>
      <w:tr w:rsidR="003C0A81" w:rsidRPr="00BC418F" w:rsidTr="003C0A81">
        <w:tc>
          <w:tcPr>
            <w:tcW w:w="1022" w:type="pct"/>
          </w:tcPr>
          <w:p w:rsidR="003C0A81" w:rsidRPr="00BC418F" w:rsidRDefault="003C0A81" w:rsidP="00390244">
            <w:pPr>
              <w:jc w:val="center"/>
              <w:rPr>
                <w:szCs w:val="28"/>
                <w:lang w:val="uk-UA"/>
              </w:rPr>
            </w:pPr>
            <w:r w:rsidRPr="00BC418F">
              <w:rPr>
                <w:szCs w:val="28"/>
                <w:lang w:val="uk-UA"/>
              </w:rPr>
              <w:t>Етап</w:t>
            </w:r>
          </w:p>
        </w:tc>
        <w:tc>
          <w:tcPr>
            <w:tcW w:w="1256" w:type="pct"/>
          </w:tcPr>
          <w:p w:rsidR="003C0A81" w:rsidRPr="00BC418F" w:rsidRDefault="003C0A81" w:rsidP="00390244">
            <w:pPr>
              <w:jc w:val="center"/>
              <w:rPr>
                <w:szCs w:val="28"/>
                <w:lang w:val="uk-UA"/>
              </w:rPr>
            </w:pPr>
            <w:r w:rsidRPr="00BC418F">
              <w:rPr>
                <w:szCs w:val="28"/>
                <w:lang w:val="uk-UA"/>
              </w:rPr>
              <w:t>Задачі аудиту</w:t>
            </w:r>
          </w:p>
        </w:tc>
        <w:tc>
          <w:tcPr>
            <w:tcW w:w="2722" w:type="pct"/>
          </w:tcPr>
          <w:p w:rsidR="003C0A81" w:rsidRPr="00BC418F" w:rsidRDefault="003C0A81" w:rsidP="00390244">
            <w:pPr>
              <w:jc w:val="center"/>
              <w:rPr>
                <w:szCs w:val="28"/>
                <w:lang w:val="uk-UA"/>
              </w:rPr>
            </w:pPr>
            <w:r w:rsidRPr="00BC418F">
              <w:rPr>
                <w:szCs w:val="28"/>
                <w:lang w:val="uk-UA"/>
              </w:rPr>
              <w:t>Процедури аудиторської перевірки</w:t>
            </w:r>
          </w:p>
        </w:tc>
      </w:tr>
      <w:tr w:rsidR="003C0A81" w:rsidRPr="004A5CB5" w:rsidTr="003C0A81">
        <w:tc>
          <w:tcPr>
            <w:tcW w:w="1022" w:type="pct"/>
          </w:tcPr>
          <w:p w:rsidR="003C0A81" w:rsidRPr="00BC418F" w:rsidRDefault="003C0A81" w:rsidP="00390244">
            <w:pPr>
              <w:jc w:val="both"/>
              <w:rPr>
                <w:szCs w:val="28"/>
                <w:lang w:val="uk-UA"/>
              </w:rPr>
            </w:pPr>
            <w:r w:rsidRPr="00BC418F">
              <w:rPr>
                <w:szCs w:val="28"/>
                <w:lang w:val="uk-UA"/>
              </w:rPr>
              <w:t>Підготовчий</w:t>
            </w:r>
          </w:p>
        </w:tc>
        <w:tc>
          <w:tcPr>
            <w:tcW w:w="1256" w:type="pct"/>
          </w:tcPr>
          <w:p w:rsidR="003C0A81" w:rsidRPr="00BC418F" w:rsidRDefault="00BC418F" w:rsidP="00C754F4">
            <w:pPr>
              <w:jc w:val="both"/>
              <w:rPr>
                <w:szCs w:val="28"/>
                <w:lang w:val="uk-UA"/>
              </w:rPr>
            </w:pPr>
            <w:r w:rsidRPr="00BC418F">
              <w:rPr>
                <w:szCs w:val="28"/>
                <w:lang w:val="uk-UA"/>
              </w:rPr>
              <w:t>О</w:t>
            </w:r>
            <w:r w:rsidR="003C0A81" w:rsidRPr="00BC418F">
              <w:rPr>
                <w:szCs w:val="28"/>
                <w:lang w:val="uk-UA"/>
              </w:rPr>
              <w:t>цінка системи бухгалтерського обліку і контролю на підприємстві</w:t>
            </w:r>
          </w:p>
        </w:tc>
        <w:tc>
          <w:tcPr>
            <w:tcW w:w="2722" w:type="pct"/>
          </w:tcPr>
          <w:p w:rsidR="003C0A81" w:rsidRPr="00BC418F" w:rsidRDefault="003C0A81" w:rsidP="00C2718D">
            <w:pPr>
              <w:jc w:val="both"/>
              <w:rPr>
                <w:szCs w:val="28"/>
                <w:lang w:val="uk-UA"/>
              </w:rPr>
            </w:pPr>
            <w:r w:rsidRPr="00BC418F">
              <w:rPr>
                <w:szCs w:val="28"/>
                <w:lang w:val="uk-UA"/>
              </w:rPr>
              <w:t>Перегляд матеріалів попередніх перевірок, узгодження плану перевірки з керівниками підприємства, попереднє ознайомлення з фінансовою звітністю та статутом підприємства, складання плану аудиторської перевірки.</w:t>
            </w:r>
          </w:p>
        </w:tc>
      </w:tr>
      <w:tr w:rsidR="003C0A81" w:rsidRPr="00BC418F" w:rsidTr="003C0A81">
        <w:tc>
          <w:tcPr>
            <w:tcW w:w="1022" w:type="pct"/>
            <w:vMerge w:val="restart"/>
          </w:tcPr>
          <w:p w:rsidR="003C0A81" w:rsidRPr="00BC418F" w:rsidRDefault="003C0A81" w:rsidP="00ED63F3">
            <w:pPr>
              <w:jc w:val="both"/>
              <w:rPr>
                <w:szCs w:val="28"/>
                <w:lang w:val="uk-UA"/>
              </w:rPr>
            </w:pPr>
            <w:r w:rsidRPr="00BC418F">
              <w:rPr>
                <w:szCs w:val="28"/>
                <w:lang w:val="uk-UA"/>
              </w:rPr>
              <w:t>Перевірка</w:t>
            </w:r>
          </w:p>
        </w:tc>
        <w:tc>
          <w:tcPr>
            <w:tcW w:w="1256" w:type="pct"/>
            <w:vMerge w:val="restart"/>
          </w:tcPr>
          <w:p w:rsidR="003C0A81" w:rsidRPr="00BC418F" w:rsidRDefault="003C0A81" w:rsidP="00F14C94">
            <w:pPr>
              <w:jc w:val="both"/>
              <w:rPr>
                <w:szCs w:val="28"/>
                <w:lang w:val="uk-UA"/>
              </w:rPr>
            </w:pPr>
            <w:r w:rsidRPr="00BC418F">
              <w:rPr>
                <w:szCs w:val="28"/>
                <w:lang w:val="uk-UA"/>
              </w:rPr>
              <w:t xml:space="preserve">Перевірка відповідності бухгалтерського обліку діючому законодавству, з'ясування правильності відображення в </w:t>
            </w:r>
            <w:r w:rsidRPr="00BC418F">
              <w:rPr>
                <w:szCs w:val="28"/>
                <w:lang w:val="uk-UA"/>
              </w:rPr>
              <w:lastRenderedPageBreak/>
              <w:t xml:space="preserve">аналітичних синтетичних і регістрах обліку інформації щодо дебіторської та кредиторської заборгованості. </w:t>
            </w:r>
          </w:p>
        </w:tc>
        <w:tc>
          <w:tcPr>
            <w:tcW w:w="2722" w:type="pct"/>
          </w:tcPr>
          <w:p w:rsidR="003C0A81" w:rsidRPr="00BC418F" w:rsidRDefault="003C0A81" w:rsidP="00ED63F3">
            <w:pPr>
              <w:jc w:val="both"/>
              <w:rPr>
                <w:szCs w:val="28"/>
                <w:lang w:val="uk-UA"/>
              </w:rPr>
            </w:pPr>
            <w:r w:rsidRPr="00BC418F">
              <w:rPr>
                <w:szCs w:val="28"/>
                <w:lang w:val="uk-UA"/>
              </w:rPr>
              <w:lastRenderedPageBreak/>
              <w:t>Контроль наявності, якості та реєстрації укладених договорів;</w:t>
            </w:r>
            <w:r w:rsidRPr="00BC418F">
              <w:rPr>
                <w:szCs w:val="28"/>
              </w:rPr>
              <w:t xml:space="preserve"> </w:t>
            </w:r>
            <w:r w:rsidRPr="00BC418F">
              <w:rPr>
                <w:szCs w:val="28"/>
                <w:lang w:val="uk-UA"/>
              </w:rPr>
              <w:t>звірка залишків по розрахунках за даними Головної книги, синтетичного й аналітичного обліку;</w:t>
            </w:r>
            <w:r w:rsidRPr="00BC418F">
              <w:rPr>
                <w:szCs w:val="28"/>
              </w:rPr>
              <w:t xml:space="preserve"> </w:t>
            </w:r>
            <w:r w:rsidRPr="00BC418F">
              <w:rPr>
                <w:szCs w:val="28"/>
                <w:lang w:val="uk-UA"/>
              </w:rPr>
              <w:t>перевірка правильності створення і використання резерву сумнівних боргів.</w:t>
            </w:r>
          </w:p>
        </w:tc>
      </w:tr>
      <w:tr w:rsidR="003C0A81" w:rsidRPr="00BC418F" w:rsidTr="003C0A81">
        <w:tc>
          <w:tcPr>
            <w:tcW w:w="1022" w:type="pct"/>
            <w:vMerge/>
          </w:tcPr>
          <w:p w:rsidR="003C0A81" w:rsidRPr="00BC418F" w:rsidRDefault="003C0A81" w:rsidP="00ED63F3">
            <w:pPr>
              <w:jc w:val="both"/>
              <w:rPr>
                <w:szCs w:val="28"/>
                <w:lang w:val="uk-UA"/>
              </w:rPr>
            </w:pPr>
          </w:p>
        </w:tc>
        <w:tc>
          <w:tcPr>
            <w:tcW w:w="1256" w:type="pct"/>
            <w:vMerge/>
          </w:tcPr>
          <w:p w:rsidR="003C0A81" w:rsidRPr="00BC418F" w:rsidRDefault="003C0A81" w:rsidP="00ED63F3">
            <w:pPr>
              <w:jc w:val="both"/>
              <w:rPr>
                <w:szCs w:val="28"/>
                <w:lang w:val="uk-UA"/>
              </w:rPr>
            </w:pPr>
          </w:p>
        </w:tc>
        <w:tc>
          <w:tcPr>
            <w:tcW w:w="2722" w:type="pct"/>
          </w:tcPr>
          <w:p w:rsidR="003C0A81" w:rsidRPr="00BC418F" w:rsidRDefault="003C0A81" w:rsidP="00ED63F3">
            <w:pPr>
              <w:jc w:val="both"/>
              <w:rPr>
                <w:szCs w:val="28"/>
                <w:lang w:val="uk-UA"/>
              </w:rPr>
            </w:pPr>
            <w:r w:rsidRPr="00BC418F">
              <w:rPr>
                <w:szCs w:val="28"/>
                <w:lang w:val="uk-UA"/>
              </w:rPr>
              <w:t xml:space="preserve">Контроль повноти й реальності відображення господарських операцій по </w:t>
            </w:r>
            <w:r w:rsidRPr="00BC418F">
              <w:rPr>
                <w:szCs w:val="28"/>
                <w:lang w:val="uk-UA"/>
              </w:rPr>
              <w:lastRenderedPageBreak/>
              <w:t>безготівкових розрахунках у первинних документах;</w:t>
            </w:r>
            <w:r w:rsidRPr="00BC418F">
              <w:rPr>
                <w:szCs w:val="28"/>
              </w:rPr>
              <w:t xml:space="preserve"> </w:t>
            </w:r>
            <w:r w:rsidRPr="00BC418F">
              <w:rPr>
                <w:szCs w:val="28"/>
                <w:lang w:val="uk-UA"/>
              </w:rPr>
              <w:t>контроль правильності розрахунків у первинних документах.</w:t>
            </w:r>
          </w:p>
        </w:tc>
      </w:tr>
      <w:tr w:rsidR="003C0A81" w:rsidRPr="004A5CB5" w:rsidTr="003C0A81">
        <w:tc>
          <w:tcPr>
            <w:tcW w:w="1022" w:type="pct"/>
            <w:vMerge/>
          </w:tcPr>
          <w:p w:rsidR="003C0A81" w:rsidRPr="00BC418F" w:rsidRDefault="003C0A81" w:rsidP="00ED63F3">
            <w:pPr>
              <w:jc w:val="both"/>
              <w:rPr>
                <w:szCs w:val="28"/>
                <w:lang w:val="uk-UA"/>
              </w:rPr>
            </w:pPr>
          </w:p>
        </w:tc>
        <w:tc>
          <w:tcPr>
            <w:tcW w:w="1256" w:type="pct"/>
            <w:vMerge/>
          </w:tcPr>
          <w:p w:rsidR="003C0A81" w:rsidRPr="00BC418F" w:rsidRDefault="003C0A81" w:rsidP="00ED63F3">
            <w:pPr>
              <w:jc w:val="both"/>
              <w:rPr>
                <w:szCs w:val="28"/>
                <w:lang w:val="uk-UA"/>
              </w:rPr>
            </w:pPr>
          </w:p>
        </w:tc>
        <w:tc>
          <w:tcPr>
            <w:tcW w:w="2722" w:type="pct"/>
          </w:tcPr>
          <w:p w:rsidR="003C0A81" w:rsidRPr="00BC418F" w:rsidRDefault="003C0A81" w:rsidP="00C2718D">
            <w:pPr>
              <w:jc w:val="both"/>
              <w:rPr>
                <w:szCs w:val="28"/>
                <w:lang w:val="uk-UA"/>
              </w:rPr>
            </w:pPr>
            <w:r w:rsidRPr="00BC418F">
              <w:rPr>
                <w:szCs w:val="28"/>
                <w:lang w:val="uk-UA"/>
              </w:rPr>
              <w:t>Контроль відповідності та своєчасності облікової реєстрації; перевірка безнадійної дебіторської та кредиторської заборгованості; перевірка забезпечення зобов'язань.</w:t>
            </w:r>
          </w:p>
        </w:tc>
      </w:tr>
      <w:tr w:rsidR="003C0A81" w:rsidRPr="004A5CB5" w:rsidTr="003C0A81">
        <w:tc>
          <w:tcPr>
            <w:tcW w:w="1022" w:type="pct"/>
            <w:vMerge/>
          </w:tcPr>
          <w:p w:rsidR="003C0A81" w:rsidRPr="00BC418F" w:rsidRDefault="003C0A81" w:rsidP="00ED63F3">
            <w:pPr>
              <w:jc w:val="both"/>
              <w:rPr>
                <w:szCs w:val="28"/>
                <w:lang w:val="uk-UA"/>
              </w:rPr>
            </w:pPr>
          </w:p>
        </w:tc>
        <w:tc>
          <w:tcPr>
            <w:tcW w:w="1256" w:type="pct"/>
            <w:vMerge/>
          </w:tcPr>
          <w:p w:rsidR="003C0A81" w:rsidRPr="00BC418F" w:rsidRDefault="003C0A81" w:rsidP="00ED63F3">
            <w:pPr>
              <w:jc w:val="both"/>
              <w:rPr>
                <w:szCs w:val="28"/>
                <w:lang w:val="uk-UA"/>
              </w:rPr>
            </w:pPr>
          </w:p>
        </w:tc>
        <w:tc>
          <w:tcPr>
            <w:tcW w:w="2722" w:type="pct"/>
          </w:tcPr>
          <w:p w:rsidR="003C0A81" w:rsidRPr="00BC418F" w:rsidRDefault="003C0A81" w:rsidP="00BC418F">
            <w:pPr>
              <w:jc w:val="both"/>
              <w:rPr>
                <w:szCs w:val="28"/>
                <w:lang w:val="uk-UA"/>
              </w:rPr>
            </w:pPr>
            <w:r w:rsidRPr="00BC418F">
              <w:rPr>
                <w:szCs w:val="28"/>
                <w:lang w:val="uk-UA"/>
              </w:rPr>
              <w:t>Перевірка претензійної роботи</w:t>
            </w:r>
            <w:r w:rsidR="00BC418F" w:rsidRPr="00BC418F">
              <w:rPr>
                <w:szCs w:val="28"/>
                <w:lang w:val="uk-UA"/>
              </w:rPr>
              <w:t xml:space="preserve"> та</w:t>
            </w:r>
            <w:r w:rsidRPr="00BC418F">
              <w:rPr>
                <w:szCs w:val="28"/>
                <w:lang w:val="uk-UA"/>
              </w:rPr>
              <w:t xml:space="preserve"> інші питання, що стосуються аудиту дебіторської заборгованості і зобов'язань.</w:t>
            </w:r>
          </w:p>
        </w:tc>
      </w:tr>
      <w:tr w:rsidR="003C0A81" w:rsidRPr="004A5CB5" w:rsidTr="003C0A81">
        <w:tc>
          <w:tcPr>
            <w:tcW w:w="1022" w:type="pct"/>
          </w:tcPr>
          <w:p w:rsidR="003C0A81" w:rsidRPr="00BC418F" w:rsidRDefault="003C0A81" w:rsidP="00ED63F3">
            <w:pPr>
              <w:jc w:val="both"/>
              <w:rPr>
                <w:szCs w:val="28"/>
                <w:lang w:val="uk-UA"/>
              </w:rPr>
            </w:pPr>
            <w:r w:rsidRPr="00BC418F">
              <w:rPr>
                <w:szCs w:val="28"/>
                <w:lang w:val="uk-UA"/>
              </w:rPr>
              <w:t>Заключний</w:t>
            </w:r>
          </w:p>
        </w:tc>
        <w:tc>
          <w:tcPr>
            <w:tcW w:w="1256" w:type="pct"/>
          </w:tcPr>
          <w:p w:rsidR="003C0A81" w:rsidRPr="00BC418F" w:rsidRDefault="003C0A81" w:rsidP="00C754F4">
            <w:pPr>
              <w:jc w:val="both"/>
              <w:rPr>
                <w:szCs w:val="28"/>
                <w:lang w:val="uk-UA"/>
              </w:rPr>
            </w:pPr>
            <w:r w:rsidRPr="00BC418F">
              <w:rPr>
                <w:szCs w:val="28"/>
                <w:lang w:val="uk-UA"/>
              </w:rPr>
              <w:t xml:space="preserve">Складання на підставі результатів перевірки </w:t>
            </w:r>
            <w:r w:rsidR="00C754F4" w:rsidRPr="00BC418F">
              <w:rPr>
                <w:szCs w:val="28"/>
                <w:lang w:val="uk-UA"/>
              </w:rPr>
              <w:t>звіту внутрішнього аудитора</w:t>
            </w:r>
            <w:r w:rsidRPr="00BC418F">
              <w:rPr>
                <w:szCs w:val="28"/>
                <w:lang w:val="uk-UA"/>
              </w:rPr>
              <w:t xml:space="preserve"> і пояснювальної записки</w:t>
            </w:r>
          </w:p>
        </w:tc>
        <w:tc>
          <w:tcPr>
            <w:tcW w:w="2722" w:type="pct"/>
          </w:tcPr>
          <w:p w:rsidR="003C0A81" w:rsidRPr="00BC418F" w:rsidRDefault="003C0A81" w:rsidP="00BC418F">
            <w:pPr>
              <w:jc w:val="both"/>
              <w:rPr>
                <w:szCs w:val="28"/>
                <w:lang w:val="uk-UA"/>
              </w:rPr>
            </w:pPr>
            <w:r w:rsidRPr="00BC418F">
              <w:rPr>
                <w:szCs w:val="28"/>
                <w:lang w:val="uk-UA"/>
              </w:rPr>
              <w:t xml:space="preserve">Підведення підсумків аудиторської перевірки, систематизація робочих документів і записів, які були складені під час перевірки, розробка заходів та відповідних рекомендацій щодо усунення знайдених порушень, складання </w:t>
            </w:r>
            <w:r w:rsidR="00BC418F" w:rsidRPr="00BC418F">
              <w:rPr>
                <w:szCs w:val="28"/>
                <w:lang w:val="uk-UA"/>
              </w:rPr>
              <w:t>звіту внутрішнього аудиту і пояснювальної записки.</w:t>
            </w:r>
          </w:p>
        </w:tc>
      </w:tr>
    </w:tbl>
    <w:p w:rsidR="00BC418F" w:rsidRDefault="00BC418F" w:rsidP="00AD58A3">
      <w:pPr>
        <w:ind w:firstLine="709"/>
        <w:jc w:val="both"/>
        <w:rPr>
          <w:lang w:val="uk-UA"/>
        </w:rPr>
      </w:pPr>
    </w:p>
    <w:p w:rsidR="00AD58A3" w:rsidRDefault="00AD58A3" w:rsidP="00AD58A3">
      <w:pPr>
        <w:ind w:firstLine="709"/>
        <w:jc w:val="both"/>
        <w:rPr>
          <w:lang w:val="uk-UA"/>
        </w:rPr>
      </w:pPr>
      <w:r>
        <w:rPr>
          <w:lang w:val="uk-UA"/>
        </w:rPr>
        <w:t>Для перевірки достовірності первинних документів необхідно провести зустрічні звірки різних документів, а також зробити письмовий запит у відповідні підприємства про стан розрахунків. Під час аудиту розрахунків необхідно встановити наявність договорів, звернути увагу на правильність застосування тарифів та цін. Аудитор проводить вибіркову перевірку значних сум, вивчає господарські договори та первинні документи. За результатом перевірки аудитор робить звіт</w:t>
      </w:r>
      <w:r w:rsidR="00BC418F">
        <w:rPr>
          <w:lang w:val="uk-UA"/>
        </w:rPr>
        <w:t xml:space="preserve"> внутрішнього аудитора</w:t>
      </w:r>
      <w:r>
        <w:rPr>
          <w:lang w:val="uk-UA"/>
        </w:rPr>
        <w:t>.</w:t>
      </w:r>
    </w:p>
    <w:p w:rsidR="00CB1301" w:rsidRDefault="00CB1301" w:rsidP="00ED63F3">
      <w:pPr>
        <w:ind w:firstLine="709"/>
        <w:jc w:val="both"/>
        <w:rPr>
          <w:lang w:val="uk-UA"/>
        </w:rPr>
      </w:pPr>
    </w:p>
    <w:p w:rsidR="00494754" w:rsidRPr="004A5CB5" w:rsidRDefault="00494754" w:rsidP="00494754">
      <w:pPr>
        <w:ind w:firstLine="709"/>
        <w:jc w:val="center"/>
        <w:rPr>
          <w:sz w:val="24"/>
          <w:szCs w:val="24"/>
          <w:lang w:val="uk-UA"/>
        </w:rPr>
      </w:pPr>
      <w:bookmarkStart w:id="0" w:name="_GoBack"/>
      <w:bookmarkEnd w:id="0"/>
      <w:r w:rsidRPr="004A5CB5">
        <w:rPr>
          <w:sz w:val="24"/>
          <w:szCs w:val="24"/>
          <w:lang w:val="uk-UA"/>
        </w:rPr>
        <w:t>Список використаних джерел</w:t>
      </w:r>
    </w:p>
    <w:p w:rsidR="00494754" w:rsidRPr="004A5CB5" w:rsidRDefault="00494754" w:rsidP="00494754">
      <w:pPr>
        <w:ind w:firstLine="709"/>
        <w:jc w:val="center"/>
        <w:rPr>
          <w:sz w:val="24"/>
          <w:szCs w:val="24"/>
          <w:highlight w:val="yellow"/>
          <w:lang w:val="uk-UA"/>
        </w:rPr>
      </w:pPr>
    </w:p>
    <w:p w:rsidR="00833A08" w:rsidRPr="004A5CB5" w:rsidRDefault="008521E5" w:rsidP="00CC2ACF">
      <w:pPr>
        <w:pStyle w:val="a4"/>
        <w:numPr>
          <w:ilvl w:val="0"/>
          <w:numId w:val="3"/>
        </w:numPr>
        <w:ind w:left="0" w:firstLine="284"/>
        <w:jc w:val="both"/>
        <w:rPr>
          <w:sz w:val="24"/>
          <w:szCs w:val="24"/>
          <w:lang w:val="uk-UA"/>
        </w:rPr>
      </w:pPr>
      <w:r w:rsidRPr="004A5CB5">
        <w:rPr>
          <w:sz w:val="24"/>
          <w:szCs w:val="24"/>
          <w:lang w:val="uk-UA"/>
        </w:rPr>
        <w:t>Офіційний сайт Спілки</w:t>
      </w:r>
      <w:r w:rsidR="00833A08" w:rsidRPr="004A5CB5">
        <w:rPr>
          <w:sz w:val="24"/>
          <w:szCs w:val="24"/>
          <w:lang w:val="uk-UA"/>
        </w:rPr>
        <w:t xml:space="preserve"> власників житла України </w:t>
      </w:r>
      <w:r w:rsidRPr="004A5CB5">
        <w:rPr>
          <w:rStyle w:val="a6"/>
          <w:b w:val="0"/>
          <w:sz w:val="24"/>
          <w:szCs w:val="24"/>
          <w:shd w:val="clear" w:color="auto" w:fill="FFFFFF"/>
          <w:lang w:val="uk-UA"/>
        </w:rPr>
        <w:t xml:space="preserve">[Електронний ресурс]. – </w:t>
      </w:r>
      <w:r w:rsidRPr="004A5CB5">
        <w:rPr>
          <w:sz w:val="24"/>
          <w:szCs w:val="24"/>
        </w:rPr>
        <w:t>URL</w:t>
      </w:r>
      <w:r w:rsidRPr="004A5CB5">
        <w:rPr>
          <w:rStyle w:val="a6"/>
          <w:b w:val="0"/>
          <w:sz w:val="24"/>
          <w:szCs w:val="24"/>
          <w:shd w:val="clear" w:color="auto" w:fill="FFFFFF"/>
          <w:lang w:val="uk-UA"/>
        </w:rPr>
        <w:t>:</w:t>
      </w:r>
      <w:r w:rsidRPr="004A5CB5">
        <w:rPr>
          <w:rStyle w:val="a6"/>
          <w:b w:val="0"/>
          <w:sz w:val="24"/>
          <w:szCs w:val="24"/>
          <w:shd w:val="clear" w:color="auto" w:fill="FFFFFF"/>
        </w:rPr>
        <w:t xml:space="preserve"> </w:t>
      </w:r>
      <w:r w:rsidR="00833A08" w:rsidRPr="004A5CB5">
        <w:rPr>
          <w:sz w:val="24"/>
          <w:szCs w:val="24"/>
          <w:lang w:val="uk-UA"/>
        </w:rPr>
        <w:t>https://spilka.pro/u-2019-rotsi-zmenshyvsya-riven-rozrahunkiv-za-komunalku</w:t>
      </w:r>
    </w:p>
    <w:p w:rsidR="00197448" w:rsidRPr="004A5CB5" w:rsidRDefault="008521E5" w:rsidP="00CC2ACF">
      <w:pPr>
        <w:pStyle w:val="a4"/>
        <w:numPr>
          <w:ilvl w:val="0"/>
          <w:numId w:val="3"/>
        </w:numPr>
        <w:ind w:left="0" w:firstLine="284"/>
        <w:jc w:val="both"/>
        <w:rPr>
          <w:sz w:val="24"/>
          <w:szCs w:val="24"/>
          <w:lang w:val="uk-UA"/>
        </w:rPr>
      </w:pPr>
      <w:r w:rsidRPr="004A5CB5">
        <w:rPr>
          <w:sz w:val="24"/>
          <w:szCs w:val="24"/>
          <w:lang w:val="uk-UA"/>
        </w:rPr>
        <w:t>Офіційний сайт Державної служби</w:t>
      </w:r>
      <w:r w:rsidR="00197448" w:rsidRPr="004A5CB5">
        <w:rPr>
          <w:sz w:val="24"/>
          <w:szCs w:val="24"/>
          <w:lang w:val="uk-UA"/>
        </w:rPr>
        <w:t xml:space="preserve"> статистики України </w:t>
      </w:r>
      <w:r w:rsidRPr="004A5CB5">
        <w:rPr>
          <w:rStyle w:val="a6"/>
          <w:b w:val="0"/>
          <w:sz w:val="24"/>
          <w:szCs w:val="24"/>
          <w:shd w:val="clear" w:color="auto" w:fill="FFFFFF"/>
          <w:lang w:val="uk-UA"/>
        </w:rPr>
        <w:t xml:space="preserve">[Електронний ресурс]. – </w:t>
      </w:r>
      <w:r w:rsidRPr="004A5CB5">
        <w:rPr>
          <w:sz w:val="24"/>
          <w:szCs w:val="24"/>
        </w:rPr>
        <w:t>URL</w:t>
      </w:r>
      <w:r w:rsidRPr="004A5CB5">
        <w:rPr>
          <w:rStyle w:val="a6"/>
          <w:b w:val="0"/>
          <w:sz w:val="24"/>
          <w:szCs w:val="24"/>
          <w:shd w:val="clear" w:color="auto" w:fill="FFFFFF"/>
          <w:lang w:val="uk-UA"/>
        </w:rPr>
        <w:t>:</w:t>
      </w:r>
      <w:r w:rsidRPr="004A5CB5">
        <w:rPr>
          <w:rStyle w:val="a6"/>
          <w:b w:val="0"/>
          <w:sz w:val="24"/>
          <w:szCs w:val="24"/>
          <w:shd w:val="clear" w:color="auto" w:fill="FFFFFF"/>
        </w:rPr>
        <w:t xml:space="preserve"> </w:t>
      </w:r>
      <w:hyperlink r:id="rId5" w:history="1">
        <w:r w:rsidR="00197448" w:rsidRPr="004A5CB5">
          <w:rPr>
            <w:rStyle w:val="a5"/>
            <w:color w:val="auto"/>
            <w:sz w:val="24"/>
            <w:szCs w:val="24"/>
            <w:u w:val="none"/>
          </w:rPr>
          <w:t>http</w:t>
        </w:r>
        <w:r w:rsidR="00197448" w:rsidRPr="004A5CB5">
          <w:rPr>
            <w:rStyle w:val="a5"/>
            <w:color w:val="auto"/>
            <w:sz w:val="24"/>
            <w:szCs w:val="24"/>
            <w:u w:val="none"/>
            <w:lang w:val="uk-UA"/>
          </w:rPr>
          <w:t>://</w:t>
        </w:r>
        <w:r w:rsidR="00197448" w:rsidRPr="004A5CB5">
          <w:rPr>
            <w:rStyle w:val="a5"/>
            <w:color w:val="auto"/>
            <w:sz w:val="24"/>
            <w:szCs w:val="24"/>
            <w:u w:val="none"/>
          </w:rPr>
          <w:t>www</w:t>
        </w:r>
        <w:r w:rsidR="00197448" w:rsidRPr="004A5CB5">
          <w:rPr>
            <w:rStyle w:val="a5"/>
            <w:color w:val="auto"/>
            <w:sz w:val="24"/>
            <w:szCs w:val="24"/>
            <w:u w:val="none"/>
            <w:lang w:val="uk-UA"/>
          </w:rPr>
          <w:t>.</w:t>
        </w:r>
        <w:r w:rsidR="00197448" w:rsidRPr="004A5CB5">
          <w:rPr>
            <w:rStyle w:val="a5"/>
            <w:color w:val="auto"/>
            <w:sz w:val="24"/>
            <w:szCs w:val="24"/>
            <w:u w:val="none"/>
          </w:rPr>
          <w:t>ukrstat</w:t>
        </w:r>
        <w:r w:rsidR="00197448" w:rsidRPr="004A5CB5">
          <w:rPr>
            <w:rStyle w:val="a5"/>
            <w:color w:val="auto"/>
            <w:sz w:val="24"/>
            <w:szCs w:val="24"/>
            <w:u w:val="none"/>
            <w:lang w:val="uk-UA"/>
          </w:rPr>
          <w:t>.</w:t>
        </w:r>
        <w:r w:rsidR="00197448" w:rsidRPr="004A5CB5">
          <w:rPr>
            <w:rStyle w:val="a5"/>
            <w:color w:val="auto"/>
            <w:sz w:val="24"/>
            <w:szCs w:val="24"/>
            <w:u w:val="none"/>
          </w:rPr>
          <w:t>gov</w:t>
        </w:r>
        <w:r w:rsidR="00197448" w:rsidRPr="004A5CB5">
          <w:rPr>
            <w:rStyle w:val="a5"/>
            <w:color w:val="auto"/>
            <w:sz w:val="24"/>
            <w:szCs w:val="24"/>
            <w:u w:val="none"/>
            <w:lang w:val="uk-UA"/>
          </w:rPr>
          <w:t>.</w:t>
        </w:r>
        <w:r w:rsidR="00197448" w:rsidRPr="004A5CB5">
          <w:rPr>
            <w:rStyle w:val="a5"/>
            <w:color w:val="auto"/>
            <w:sz w:val="24"/>
            <w:szCs w:val="24"/>
            <w:u w:val="none"/>
          </w:rPr>
          <w:t>ua</w:t>
        </w:r>
      </w:hyperlink>
    </w:p>
    <w:p w:rsidR="00B71C3C" w:rsidRPr="004A5CB5" w:rsidRDefault="003E1E3E" w:rsidP="00CC2ACF">
      <w:pPr>
        <w:pStyle w:val="a4"/>
        <w:numPr>
          <w:ilvl w:val="0"/>
          <w:numId w:val="3"/>
        </w:numPr>
        <w:ind w:left="0" w:firstLine="284"/>
        <w:jc w:val="both"/>
        <w:rPr>
          <w:sz w:val="24"/>
          <w:szCs w:val="24"/>
          <w:lang w:val="uk-UA"/>
        </w:rPr>
      </w:pPr>
      <w:r w:rsidRPr="004A5CB5">
        <w:rPr>
          <w:sz w:val="24"/>
          <w:szCs w:val="24"/>
          <w:lang w:val="uk-UA"/>
        </w:rPr>
        <w:t xml:space="preserve">Хохлов М. П. </w:t>
      </w:r>
      <w:r w:rsidR="00276404" w:rsidRPr="004A5CB5">
        <w:rPr>
          <w:sz w:val="24"/>
          <w:szCs w:val="24"/>
          <w:lang w:val="uk-UA"/>
        </w:rPr>
        <w:t>Управління дебіторською та кредиторською заборгованістю підприємства</w:t>
      </w:r>
      <w:r w:rsidRPr="004A5CB5">
        <w:rPr>
          <w:sz w:val="24"/>
          <w:szCs w:val="24"/>
          <w:lang w:val="uk-UA"/>
        </w:rPr>
        <w:t xml:space="preserve"> </w:t>
      </w:r>
      <w:r w:rsidRPr="004A5CB5">
        <w:rPr>
          <w:rStyle w:val="a6"/>
          <w:b w:val="0"/>
          <w:sz w:val="24"/>
          <w:szCs w:val="24"/>
          <w:shd w:val="clear" w:color="auto" w:fill="FFFFFF"/>
          <w:lang w:val="uk-UA"/>
        </w:rPr>
        <w:t>[Електронний ресурс]</w:t>
      </w:r>
      <w:r w:rsidR="008521E5" w:rsidRPr="004A5CB5">
        <w:rPr>
          <w:rStyle w:val="a6"/>
          <w:b w:val="0"/>
          <w:sz w:val="24"/>
          <w:szCs w:val="24"/>
          <w:shd w:val="clear" w:color="auto" w:fill="FFFFFF"/>
          <w:lang w:val="uk-UA"/>
        </w:rPr>
        <w:t>.</w:t>
      </w:r>
      <w:r w:rsidRPr="004A5CB5">
        <w:rPr>
          <w:rStyle w:val="a6"/>
          <w:b w:val="0"/>
          <w:sz w:val="24"/>
          <w:szCs w:val="24"/>
          <w:shd w:val="clear" w:color="auto" w:fill="FFFFFF"/>
          <w:lang w:val="uk-UA"/>
        </w:rPr>
        <w:t xml:space="preserve"> – </w:t>
      </w:r>
      <w:r w:rsidR="008521E5" w:rsidRPr="004A5CB5">
        <w:rPr>
          <w:sz w:val="24"/>
          <w:szCs w:val="24"/>
        </w:rPr>
        <w:t>URL</w:t>
      </w:r>
      <w:r w:rsidRPr="004A5CB5">
        <w:rPr>
          <w:rStyle w:val="a6"/>
          <w:b w:val="0"/>
          <w:sz w:val="24"/>
          <w:szCs w:val="24"/>
          <w:shd w:val="clear" w:color="auto" w:fill="FFFFFF"/>
          <w:lang w:val="uk-UA"/>
        </w:rPr>
        <w:t xml:space="preserve">: </w:t>
      </w:r>
      <w:r w:rsidRPr="004A5CB5">
        <w:rPr>
          <w:rStyle w:val="a6"/>
          <w:b w:val="0"/>
          <w:sz w:val="24"/>
          <w:szCs w:val="24"/>
          <w:shd w:val="clear" w:color="auto" w:fill="FFFFFF"/>
        </w:rPr>
        <w:t xml:space="preserve"> </w:t>
      </w:r>
      <w:hyperlink r:id="rId6" w:history="1">
        <w:r w:rsidR="00276404" w:rsidRPr="004A5CB5">
          <w:rPr>
            <w:rStyle w:val="a5"/>
            <w:color w:val="auto"/>
            <w:sz w:val="24"/>
            <w:szCs w:val="24"/>
            <w:u w:val="none"/>
          </w:rPr>
          <w:t>http</w:t>
        </w:r>
        <w:r w:rsidR="00276404" w:rsidRPr="004A5CB5">
          <w:rPr>
            <w:rStyle w:val="a5"/>
            <w:color w:val="auto"/>
            <w:sz w:val="24"/>
            <w:szCs w:val="24"/>
            <w:u w:val="none"/>
            <w:lang w:val="uk-UA"/>
          </w:rPr>
          <w:t>://</w:t>
        </w:r>
        <w:r w:rsidR="00276404" w:rsidRPr="004A5CB5">
          <w:rPr>
            <w:rStyle w:val="a5"/>
            <w:color w:val="auto"/>
            <w:sz w:val="24"/>
            <w:szCs w:val="24"/>
            <w:u w:val="none"/>
          </w:rPr>
          <w:t>economyandsociety</w:t>
        </w:r>
        <w:r w:rsidR="00276404" w:rsidRPr="004A5CB5">
          <w:rPr>
            <w:rStyle w:val="a5"/>
            <w:color w:val="auto"/>
            <w:sz w:val="24"/>
            <w:szCs w:val="24"/>
            <w:u w:val="none"/>
            <w:lang w:val="uk-UA"/>
          </w:rPr>
          <w:t>.</w:t>
        </w:r>
        <w:r w:rsidR="00276404" w:rsidRPr="004A5CB5">
          <w:rPr>
            <w:rStyle w:val="a5"/>
            <w:color w:val="auto"/>
            <w:sz w:val="24"/>
            <w:szCs w:val="24"/>
            <w:u w:val="none"/>
          </w:rPr>
          <w:t>in</w:t>
        </w:r>
        <w:r w:rsidR="00276404" w:rsidRPr="004A5CB5">
          <w:rPr>
            <w:rStyle w:val="a5"/>
            <w:color w:val="auto"/>
            <w:sz w:val="24"/>
            <w:szCs w:val="24"/>
            <w:u w:val="none"/>
            <w:lang w:val="uk-UA"/>
          </w:rPr>
          <w:t>.</w:t>
        </w:r>
        <w:r w:rsidR="00276404" w:rsidRPr="004A5CB5">
          <w:rPr>
            <w:rStyle w:val="a5"/>
            <w:color w:val="auto"/>
            <w:sz w:val="24"/>
            <w:szCs w:val="24"/>
            <w:u w:val="none"/>
          </w:rPr>
          <w:t>ua</w:t>
        </w:r>
        <w:r w:rsidR="00276404" w:rsidRPr="004A5CB5">
          <w:rPr>
            <w:rStyle w:val="a5"/>
            <w:color w:val="auto"/>
            <w:sz w:val="24"/>
            <w:szCs w:val="24"/>
            <w:u w:val="none"/>
            <w:lang w:val="uk-UA"/>
          </w:rPr>
          <w:t>/</w:t>
        </w:r>
        <w:r w:rsidR="00276404" w:rsidRPr="004A5CB5">
          <w:rPr>
            <w:rStyle w:val="a5"/>
            <w:color w:val="auto"/>
            <w:sz w:val="24"/>
            <w:szCs w:val="24"/>
            <w:u w:val="none"/>
          </w:rPr>
          <w:t>journal</w:t>
        </w:r>
        <w:r w:rsidR="00276404" w:rsidRPr="004A5CB5">
          <w:rPr>
            <w:rStyle w:val="a5"/>
            <w:color w:val="auto"/>
            <w:sz w:val="24"/>
            <w:szCs w:val="24"/>
            <w:u w:val="none"/>
            <w:lang w:val="uk-UA"/>
          </w:rPr>
          <w:t>/10_</w:t>
        </w:r>
        <w:r w:rsidR="00276404" w:rsidRPr="004A5CB5">
          <w:rPr>
            <w:rStyle w:val="a5"/>
            <w:color w:val="auto"/>
            <w:sz w:val="24"/>
            <w:szCs w:val="24"/>
            <w:u w:val="none"/>
          </w:rPr>
          <w:t>ukr</w:t>
        </w:r>
        <w:r w:rsidR="00276404" w:rsidRPr="004A5CB5">
          <w:rPr>
            <w:rStyle w:val="a5"/>
            <w:color w:val="auto"/>
            <w:sz w:val="24"/>
            <w:szCs w:val="24"/>
            <w:u w:val="none"/>
            <w:lang w:val="uk-UA"/>
          </w:rPr>
          <w:t>/70.</w:t>
        </w:r>
        <w:r w:rsidR="00276404" w:rsidRPr="004A5CB5">
          <w:rPr>
            <w:rStyle w:val="a5"/>
            <w:color w:val="auto"/>
            <w:sz w:val="24"/>
            <w:szCs w:val="24"/>
            <w:u w:val="none"/>
          </w:rPr>
          <w:t>pdf</w:t>
        </w:r>
      </w:hyperlink>
    </w:p>
    <w:p w:rsidR="00276404" w:rsidRPr="004A5CB5" w:rsidRDefault="00276404" w:rsidP="00CC2ACF">
      <w:pPr>
        <w:pStyle w:val="a4"/>
        <w:numPr>
          <w:ilvl w:val="0"/>
          <w:numId w:val="3"/>
        </w:numPr>
        <w:ind w:left="0" w:firstLine="284"/>
        <w:jc w:val="both"/>
        <w:rPr>
          <w:b/>
          <w:sz w:val="24"/>
          <w:szCs w:val="24"/>
          <w:lang w:val="uk-UA"/>
        </w:rPr>
      </w:pPr>
      <w:r w:rsidRPr="004A5CB5">
        <w:rPr>
          <w:rStyle w:val="a6"/>
          <w:b w:val="0"/>
          <w:sz w:val="24"/>
          <w:szCs w:val="24"/>
          <w:shd w:val="clear" w:color="auto" w:fill="FFFFFF"/>
        </w:rPr>
        <w:t xml:space="preserve">Ступницька </w:t>
      </w:r>
      <w:r w:rsidR="0070729B" w:rsidRPr="004A5CB5">
        <w:rPr>
          <w:rStyle w:val="a6"/>
          <w:b w:val="0"/>
          <w:sz w:val="24"/>
          <w:szCs w:val="24"/>
          <w:shd w:val="clear" w:color="auto" w:fill="FFFFFF"/>
        </w:rPr>
        <w:t>Т., Бамбуляк І., Маркова, Т.,</w:t>
      </w:r>
      <w:r w:rsidR="008521E5" w:rsidRPr="004A5CB5">
        <w:rPr>
          <w:rStyle w:val="a6"/>
          <w:b w:val="0"/>
          <w:sz w:val="24"/>
          <w:szCs w:val="24"/>
          <w:shd w:val="clear" w:color="auto" w:fill="FFFFFF"/>
        </w:rPr>
        <w:t xml:space="preserve"> Кулік</w:t>
      </w:r>
      <w:r w:rsidR="001B1850" w:rsidRPr="004A5CB5">
        <w:rPr>
          <w:rStyle w:val="a6"/>
          <w:b w:val="0"/>
          <w:sz w:val="24"/>
          <w:szCs w:val="24"/>
          <w:shd w:val="clear" w:color="auto" w:fill="FFFFFF"/>
        </w:rPr>
        <w:t xml:space="preserve"> Н.</w:t>
      </w:r>
      <w:r w:rsidRPr="004A5CB5">
        <w:rPr>
          <w:rStyle w:val="a6"/>
          <w:b w:val="0"/>
          <w:sz w:val="24"/>
          <w:szCs w:val="24"/>
          <w:shd w:val="clear" w:color="auto" w:fill="FFFFFF"/>
        </w:rPr>
        <w:t xml:space="preserve"> </w:t>
      </w:r>
      <w:r w:rsidR="003E1E3E" w:rsidRPr="004A5CB5">
        <w:rPr>
          <w:rStyle w:val="a6"/>
          <w:b w:val="0"/>
          <w:sz w:val="24"/>
          <w:szCs w:val="24"/>
          <w:shd w:val="clear" w:color="auto" w:fill="FFFFFF"/>
        </w:rPr>
        <w:t>К</w:t>
      </w:r>
      <w:r w:rsidR="001B1850" w:rsidRPr="004A5CB5">
        <w:rPr>
          <w:rStyle w:val="a6"/>
          <w:b w:val="0"/>
          <w:sz w:val="24"/>
          <w:szCs w:val="24"/>
          <w:shd w:val="clear" w:color="auto" w:fill="FFFFFF"/>
        </w:rPr>
        <w:t>редиторська заборгованість підприємства: оцінка та механізми управління</w:t>
      </w:r>
      <w:r w:rsidR="003E1E3E" w:rsidRPr="004A5CB5">
        <w:rPr>
          <w:rStyle w:val="a6"/>
          <w:b w:val="0"/>
          <w:sz w:val="24"/>
          <w:szCs w:val="24"/>
          <w:shd w:val="clear" w:color="auto" w:fill="FFFFFF"/>
          <w:lang w:val="uk-UA"/>
        </w:rPr>
        <w:t xml:space="preserve"> [Електронний ресурс]</w:t>
      </w:r>
      <w:r w:rsidR="008521E5" w:rsidRPr="004A5CB5">
        <w:rPr>
          <w:rStyle w:val="a6"/>
          <w:b w:val="0"/>
          <w:sz w:val="24"/>
          <w:szCs w:val="24"/>
          <w:shd w:val="clear" w:color="auto" w:fill="FFFFFF"/>
          <w:lang w:val="uk-UA"/>
        </w:rPr>
        <w:t>.</w:t>
      </w:r>
      <w:r w:rsidR="003E1E3E" w:rsidRPr="004A5CB5">
        <w:rPr>
          <w:rStyle w:val="a6"/>
          <w:b w:val="0"/>
          <w:sz w:val="24"/>
          <w:szCs w:val="24"/>
          <w:shd w:val="clear" w:color="auto" w:fill="FFFFFF"/>
          <w:lang w:val="uk-UA"/>
        </w:rPr>
        <w:t xml:space="preserve"> – </w:t>
      </w:r>
      <w:r w:rsidR="008521E5" w:rsidRPr="004A5CB5">
        <w:rPr>
          <w:sz w:val="24"/>
          <w:szCs w:val="24"/>
        </w:rPr>
        <w:t>URL</w:t>
      </w:r>
      <w:r w:rsidR="008521E5" w:rsidRPr="004A5CB5">
        <w:rPr>
          <w:rStyle w:val="a6"/>
          <w:b w:val="0"/>
          <w:sz w:val="24"/>
          <w:szCs w:val="24"/>
          <w:shd w:val="clear" w:color="auto" w:fill="FFFFFF"/>
          <w:lang w:val="uk-UA"/>
        </w:rPr>
        <w:t>:</w:t>
      </w:r>
      <w:r w:rsidRPr="004A5CB5">
        <w:rPr>
          <w:rStyle w:val="a6"/>
          <w:b w:val="0"/>
          <w:sz w:val="24"/>
          <w:szCs w:val="24"/>
          <w:shd w:val="clear" w:color="auto" w:fill="FFFFFF"/>
        </w:rPr>
        <w:t xml:space="preserve"> </w:t>
      </w:r>
      <w:hyperlink r:id="rId7" w:history="1">
        <w:r w:rsidRPr="004A5CB5">
          <w:rPr>
            <w:rStyle w:val="a5"/>
            <w:color w:val="auto"/>
            <w:sz w:val="24"/>
            <w:szCs w:val="24"/>
            <w:u w:val="none"/>
            <w:shd w:val="clear" w:color="auto" w:fill="FFFFFF"/>
          </w:rPr>
          <w:t>https://doi.org/10.15673/fie.v10i4.1134</w:t>
        </w:r>
      </w:hyperlink>
    </w:p>
    <w:sectPr w:rsidR="00276404" w:rsidRPr="004A5CB5" w:rsidSect="00BC41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0033"/>
    <w:multiLevelType w:val="hybridMultilevel"/>
    <w:tmpl w:val="127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E2FC2"/>
    <w:multiLevelType w:val="hybridMultilevel"/>
    <w:tmpl w:val="14C4163E"/>
    <w:lvl w:ilvl="0" w:tplc="B47EB6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A0EFA"/>
    <w:multiLevelType w:val="hybridMultilevel"/>
    <w:tmpl w:val="008C36A0"/>
    <w:lvl w:ilvl="0" w:tplc="0A1AC86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33"/>
    <w:rsid w:val="000453F4"/>
    <w:rsid w:val="0014252C"/>
    <w:rsid w:val="00197448"/>
    <w:rsid w:val="001B1850"/>
    <w:rsid w:val="001C1BD3"/>
    <w:rsid w:val="00202147"/>
    <w:rsid w:val="00250592"/>
    <w:rsid w:val="00276404"/>
    <w:rsid w:val="00285A8A"/>
    <w:rsid w:val="002A4A15"/>
    <w:rsid w:val="0032603B"/>
    <w:rsid w:val="00390244"/>
    <w:rsid w:val="003C0A81"/>
    <w:rsid w:val="003E1E3E"/>
    <w:rsid w:val="003F4A06"/>
    <w:rsid w:val="00435648"/>
    <w:rsid w:val="00494754"/>
    <w:rsid w:val="004A5CB5"/>
    <w:rsid w:val="004E5536"/>
    <w:rsid w:val="005E36ED"/>
    <w:rsid w:val="00635CB3"/>
    <w:rsid w:val="0070729B"/>
    <w:rsid w:val="007C7A05"/>
    <w:rsid w:val="007F1626"/>
    <w:rsid w:val="00807B12"/>
    <w:rsid w:val="00810F99"/>
    <w:rsid w:val="008145CE"/>
    <w:rsid w:val="00833A08"/>
    <w:rsid w:val="008521E5"/>
    <w:rsid w:val="009A3E66"/>
    <w:rsid w:val="009D6D86"/>
    <w:rsid w:val="009E1E06"/>
    <w:rsid w:val="00A8505E"/>
    <w:rsid w:val="00AA2933"/>
    <w:rsid w:val="00AD58A3"/>
    <w:rsid w:val="00B71C3C"/>
    <w:rsid w:val="00BC418F"/>
    <w:rsid w:val="00C07182"/>
    <w:rsid w:val="00C2718D"/>
    <w:rsid w:val="00C375D5"/>
    <w:rsid w:val="00C754F4"/>
    <w:rsid w:val="00CA26C4"/>
    <w:rsid w:val="00CB1301"/>
    <w:rsid w:val="00CB1B63"/>
    <w:rsid w:val="00CC2ACF"/>
    <w:rsid w:val="00D33925"/>
    <w:rsid w:val="00D345BD"/>
    <w:rsid w:val="00D34A01"/>
    <w:rsid w:val="00D34C16"/>
    <w:rsid w:val="00E12D1A"/>
    <w:rsid w:val="00ED63F3"/>
    <w:rsid w:val="00F14C94"/>
    <w:rsid w:val="00F5418B"/>
    <w:rsid w:val="00F65B95"/>
    <w:rsid w:val="00F77194"/>
    <w:rsid w:val="00FE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49849-E9A6-45F5-8822-9AFD33E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48"/>
    <w:pPr>
      <w:spacing w:after="0" w:line="240" w:lineRule="auto"/>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0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90244"/>
    <w:pPr>
      <w:ind w:left="720"/>
      <w:contextualSpacing/>
    </w:pPr>
  </w:style>
  <w:style w:type="character" w:styleId="a5">
    <w:name w:val="Hyperlink"/>
    <w:basedOn w:val="a0"/>
    <w:uiPriority w:val="99"/>
    <w:unhideWhenUsed/>
    <w:rsid w:val="00276404"/>
    <w:rPr>
      <w:color w:val="0000FF"/>
      <w:u w:val="single"/>
    </w:rPr>
  </w:style>
  <w:style w:type="character" w:styleId="a6">
    <w:name w:val="Strong"/>
    <w:basedOn w:val="a0"/>
    <w:uiPriority w:val="22"/>
    <w:qFormat/>
    <w:rsid w:val="00276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673/fie.v10i4.1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omyandsociety.in.ua/journal/10_ukr/70.pdf" TargetMode="External"/><Relationship Id="rId5"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4884</Words>
  <Characters>2784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Natasha</cp:lastModifiedBy>
  <cp:revision>2</cp:revision>
  <dcterms:created xsi:type="dcterms:W3CDTF">2019-11-07T17:26:00Z</dcterms:created>
  <dcterms:modified xsi:type="dcterms:W3CDTF">2019-11-07T17:26:00Z</dcterms:modified>
</cp:coreProperties>
</file>