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56" w:rsidRPr="002B3756" w:rsidRDefault="002B3756" w:rsidP="002B3756">
      <w:pPr>
        <w:spacing w:after="0" w:line="240" w:lineRule="auto"/>
        <w:jc w:val="center"/>
        <w:outlineLvl w:val="0"/>
        <w:rPr>
          <w:rFonts w:ascii="Times New Roman" w:eastAsia="Times New Roman" w:hAnsi="Times New Roman" w:cs="Times New Roman"/>
          <w:bCs/>
          <w:kern w:val="36"/>
          <w:sz w:val="28"/>
          <w:szCs w:val="28"/>
          <w:lang w:val="ru-RU" w:eastAsia="ru-RU"/>
        </w:rPr>
      </w:pPr>
      <w:r w:rsidRPr="002B3756">
        <w:rPr>
          <w:rStyle w:val="tlid-translation"/>
          <w:rFonts w:ascii="Times New Roman" w:hAnsi="Times New Roman" w:cs="Times New Roman"/>
          <w:sz w:val="28"/>
          <w:szCs w:val="28"/>
        </w:rPr>
        <w:t xml:space="preserve">ОБЛІКОВА ПОЛІТИКА - ІНСТРУМЕНТ ФОРМУВАННЯ </w:t>
      </w:r>
      <w:r w:rsidR="00BE131E" w:rsidRPr="002B3756">
        <w:rPr>
          <w:rStyle w:val="tlid-translation"/>
          <w:rFonts w:ascii="Times New Roman" w:hAnsi="Times New Roman" w:cs="Times New Roman"/>
          <w:sz w:val="28"/>
          <w:szCs w:val="28"/>
        </w:rPr>
        <w:t xml:space="preserve">БУХГАЛТЕРСЬКОЇ </w:t>
      </w:r>
      <w:r w:rsidRPr="002B3756">
        <w:rPr>
          <w:rStyle w:val="tlid-translation"/>
          <w:rFonts w:ascii="Times New Roman" w:hAnsi="Times New Roman" w:cs="Times New Roman"/>
          <w:sz w:val="28"/>
          <w:szCs w:val="28"/>
        </w:rPr>
        <w:t xml:space="preserve">ІНФОРМАЦІЙНОЇ МОДЕЛІ ЕКОНОМІЧНОГО </w:t>
      </w:r>
      <w:r w:rsidR="00BE131E">
        <w:rPr>
          <w:rStyle w:val="tlid-translation"/>
          <w:rFonts w:ascii="Times New Roman" w:hAnsi="Times New Roman" w:cs="Times New Roman"/>
          <w:sz w:val="28"/>
          <w:szCs w:val="28"/>
        </w:rPr>
        <w:t>СУБ’</w:t>
      </w:r>
      <w:r w:rsidRPr="002B3756">
        <w:rPr>
          <w:rStyle w:val="tlid-translation"/>
          <w:rFonts w:ascii="Times New Roman" w:hAnsi="Times New Roman" w:cs="Times New Roman"/>
          <w:sz w:val="28"/>
          <w:szCs w:val="28"/>
        </w:rPr>
        <w:t>ЄКТА</w:t>
      </w:r>
    </w:p>
    <w:p w:rsidR="00000AA6" w:rsidRPr="002B3756" w:rsidRDefault="00000AA6" w:rsidP="002B3756">
      <w:pPr>
        <w:spacing w:after="0" w:line="240" w:lineRule="auto"/>
        <w:jc w:val="center"/>
        <w:rPr>
          <w:rFonts w:ascii="Times New Roman" w:hAnsi="Times New Roman" w:cs="Times New Roman"/>
          <w:sz w:val="28"/>
          <w:szCs w:val="28"/>
        </w:rPr>
      </w:pPr>
    </w:p>
    <w:p w:rsidR="005A4279" w:rsidRPr="005A4279" w:rsidRDefault="00CE2F70" w:rsidP="005A4279">
      <w:pPr>
        <w:spacing w:after="0" w:line="240" w:lineRule="auto"/>
        <w:jc w:val="both"/>
        <w:rPr>
          <w:rFonts w:ascii="Times New Roman" w:hAnsi="Times New Roman" w:cs="Times New Roman"/>
          <w:i/>
          <w:sz w:val="28"/>
        </w:rPr>
      </w:pPr>
      <w:bookmarkStart w:id="0" w:name="_GoBack"/>
      <w:r>
        <w:rPr>
          <w:rFonts w:ascii="Times New Roman" w:hAnsi="Times New Roman" w:cs="Times New Roman"/>
          <w:b/>
          <w:i/>
          <w:sz w:val="28"/>
        </w:rPr>
        <w:t>Власова О.</w:t>
      </w:r>
      <w:r w:rsidR="005A4279">
        <w:rPr>
          <w:rFonts w:ascii="Times New Roman" w:hAnsi="Times New Roman" w:cs="Times New Roman"/>
          <w:b/>
          <w:i/>
          <w:sz w:val="28"/>
          <w:lang w:val="ru-RU"/>
        </w:rPr>
        <w:t xml:space="preserve"> </w:t>
      </w:r>
      <w:r>
        <w:rPr>
          <w:rFonts w:ascii="Times New Roman" w:hAnsi="Times New Roman" w:cs="Times New Roman"/>
          <w:b/>
          <w:i/>
          <w:sz w:val="28"/>
        </w:rPr>
        <w:t>Є.</w:t>
      </w:r>
      <w:bookmarkEnd w:id="0"/>
      <w:r>
        <w:rPr>
          <w:rFonts w:ascii="Times New Roman" w:hAnsi="Times New Roman" w:cs="Times New Roman"/>
          <w:b/>
          <w:i/>
          <w:sz w:val="28"/>
        </w:rPr>
        <w:t xml:space="preserve">, </w:t>
      </w:r>
      <w:r>
        <w:rPr>
          <w:rFonts w:ascii="Times New Roman" w:hAnsi="Times New Roman" w:cs="Times New Roman"/>
          <w:i/>
          <w:sz w:val="28"/>
        </w:rPr>
        <w:t>канд. екон. наук, доцент</w:t>
      </w:r>
      <w:r w:rsidR="005A4279">
        <w:rPr>
          <w:rFonts w:ascii="Times New Roman" w:hAnsi="Times New Roman" w:cs="Times New Roman"/>
          <w:i/>
          <w:sz w:val="28"/>
          <w:lang w:val="ru-RU"/>
        </w:rPr>
        <w:t xml:space="preserve">, </w:t>
      </w:r>
      <w:r w:rsidR="002B3756" w:rsidRPr="002B3756">
        <w:rPr>
          <w:rFonts w:ascii="Times New Roman" w:hAnsi="Times New Roman" w:cs="Times New Roman"/>
          <w:b/>
          <w:i/>
          <w:sz w:val="28"/>
        </w:rPr>
        <w:t>Тимченко І</w:t>
      </w:r>
      <w:r w:rsidR="002B3756">
        <w:rPr>
          <w:rFonts w:ascii="Times New Roman" w:hAnsi="Times New Roman" w:cs="Times New Roman"/>
          <w:b/>
          <w:i/>
          <w:sz w:val="28"/>
        </w:rPr>
        <w:t>.</w:t>
      </w:r>
      <w:r w:rsidR="005A4279">
        <w:rPr>
          <w:rFonts w:ascii="Times New Roman" w:hAnsi="Times New Roman" w:cs="Times New Roman"/>
          <w:b/>
          <w:i/>
          <w:sz w:val="28"/>
          <w:lang w:val="ru-RU"/>
        </w:rPr>
        <w:t xml:space="preserve"> </w:t>
      </w:r>
      <w:r w:rsidR="002B3756" w:rsidRPr="002B3756">
        <w:rPr>
          <w:rFonts w:ascii="Times New Roman" w:hAnsi="Times New Roman" w:cs="Times New Roman"/>
          <w:b/>
          <w:i/>
          <w:sz w:val="28"/>
        </w:rPr>
        <w:t>О</w:t>
      </w:r>
      <w:r w:rsidR="002B3756">
        <w:rPr>
          <w:rFonts w:ascii="Times New Roman" w:hAnsi="Times New Roman" w:cs="Times New Roman"/>
          <w:b/>
          <w:i/>
          <w:sz w:val="28"/>
        </w:rPr>
        <w:t>.</w:t>
      </w:r>
      <w:r w:rsidR="00B04592">
        <w:rPr>
          <w:rFonts w:ascii="Times New Roman" w:hAnsi="Times New Roman" w:cs="Times New Roman"/>
          <w:b/>
          <w:i/>
          <w:sz w:val="28"/>
        </w:rPr>
        <w:t xml:space="preserve">, </w:t>
      </w:r>
      <w:r w:rsidR="00B04592" w:rsidRPr="00B04592">
        <w:rPr>
          <w:rFonts w:ascii="Times New Roman" w:hAnsi="Times New Roman" w:cs="Times New Roman"/>
          <w:b/>
          <w:i/>
          <w:sz w:val="28"/>
        </w:rPr>
        <w:t>Скворцов С</w:t>
      </w:r>
      <w:r w:rsidR="00B04592">
        <w:rPr>
          <w:rFonts w:ascii="Times New Roman" w:hAnsi="Times New Roman" w:cs="Times New Roman"/>
          <w:b/>
          <w:i/>
          <w:sz w:val="28"/>
        </w:rPr>
        <w:t>.</w:t>
      </w:r>
      <w:r w:rsidR="005A4279">
        <w:rPr>
          <w:rFonts w:ascii="Times New Roman" w:hAnsi="Times New Roman" w:cs="Times New Roman"/>
          <w:b/>
          <w:i/>
          <w:sz w:val="28"/>
          <w:lang w:val="ru-RU"/>
        </w:rPr>
        <w:t xml:space="preserve"> </w:t>
      </w:r>
      <w:r w:rsidR="00B04592" w:rsidRPr="00B04592">
        <w:rPr>
          <w:rFonts w:ascii="Times New Roman" w:hAnsi="Times New Roman" w:cs="Times New Roman"/>
          <w:b/>
          <w:i/>
          <w:sz w:val="28"/>
        </w:rPr>
        <w:t>О</w:t>
      </w:r>
      <w:r w:rsidR="00B04592">
        <w:rPr>
          <w:rFonts w:ascii="Times New Roman" w:hAnsi="Times New Roman" w:cs="Times New Roman"/>
          <w:b/>
          <w:i/>
          <w:sz w:val="28"/>
        </w:rPr>
        <w:t>.</w:t>
      </w:r>
      <w:r w:rsidR="002B3756">
        <w:rPr>
          <w:rFonts w:ascii="Times New Roman" w:hAnsi="Times New Roman" w:cs="Times New Roman"/>
          <w:b/>
          <w:i/>
          <w:sz w:val="28"/>
        </w:rPr>
        <w:t xml:space="preserve"> </w:t>
      </w:r>
      <w:r w:rsidR="002B3756">
        <w:rPr>
          <w:rFonts w:ascii="Times New Roman" w:hAnsi="Times New Roman" w:cs="Times New Roman"/>
          <w:i/>
          <w:sz w:val="28"/>
        </w:rPr>
        <w:t>магістр</w:t>
      </w:r>
      <w:r w:rsidR="003E35CB">
        <w:rPr>
          <w:rFonts w:ascii="Times New Roman" w:hAnsi="Times New Roman" w:cs="Times New Roman"/>
          <w:i/>
          <w:sz w:val="28"/>
        </w:rPr>
        <w:t>и</w:t>
      </w:r>
      <w:r w:rsidR="005A4279">
        <w:rPr>
          <w:rFonts w:ascii="Times New Roman" w:hAnsi="Times New Roman" w:cs="Times New Roman"/>
          <w:i/>
          <w:sz w:val="28"/>
          <w:lang w:val="ru-RU"/>
        </w:rPr>
        <w:t xml:space="preserve">, </w:t>
      </w:r>
      <w:r w:rsidR="00342EA9">
        <w:rPr>
          <w:rFonts w:ascii="Times New Roman" w:hAnsi="Times New Roman" w:cs="Times New Roman"/>
          <w:i/>
          <w:sz w:val="28"/>
        </w:rPr>
        <w:t xml:space="preserve"> </w:t>
      </w:r>
      <w:r w:rsidR="005A4279" w:rsidRPr="005A4279">
        <w:rPr>
          <w:rFonts w:ascii="Times New Roman" w:hAnsi="Times New Roman" w:cs="Times New Roman"/>
          <w:i/>
          <w:sz w:val="28"/>
        </w:rPr>
        <w:t>Харківський національний університет міського господарства  імені О. М. Бекетова</w:t>
      </w:r>
    </w:p>
    <w:p w:rsidR="00051722" w:rsidRDefault="00051722" w:rsidP="00B04592">
      <w:pPr>
        <w:spacing w:after="0" w:line="240" w:lineRule="auto"/>
        <w:ind w:firstLine="567"/>
        <w:jc w:val="both"/>
        <w:rPr>
          <w:rStyle w:val="tlid-translation"/>
          <w:rFonts w:ascii="Times New Roman" w:hAnsi="Times New Roman" w:cs="Times New Roman"/>
          <w:sz w:val="28"/>
          <w:szCs w:val="28"/>
        </w:rPr>
      </w:pPr>
    </w:p>
    <w:p w:rsidR="00B04592" w:rsidRDefault="002B3756" w:rsidP="00B04592">
      <w:pPr>
        <w:spacing w:after="0" w:line="240" w:lineRule="auto"/>
        <w:ind w:firstLine="567"/>
        <w:jc w:val="both"/>
        <w:rPr>
          <w:rStyle w:val="tlid-translation"/>
          <w:rFonts w:ascii="Times New Roman" w:hAnsi="Times New Roman" w:cs="Times New Roman"/>
          <w:sz w:val="28"/>
          <w:szCs w:val="28"/>
        </w:rPr>
      </w:pPr>
      <w:r w:rsidRPr="002B3756">
        <w:rPr>
          <w:rStyle w:val="tlid-translation"/>
          <w:rFonts w:ascii="Times New Roman" w:hAnsi="Times New Roman" w:cs="Times New Roman"/>
          <w:sz w:val="28"/>
          <w:szCs w:val="28"/>
        </w:rPr>
        <w:t xml:space="preserve">У період ринкових перетворень </w:t>
      </w:r>
      <w:r>
        <w:rPr>
          <w:rStyle w:val="tlid-translation"/>
          <w:rFonts w:ascii="Times New Roman" w:hAnsi="Times New Roman" w:cs="Times New Roman"/>
          <w:sz w:val="28"/>
          <w:szCs w:val="28"/>
        </w:rPr>
        <w:t>вітчизняної</w:t>
      </w:r>
      <w:r w:rsidRPr="002B3756">
        <w:rPr>
          <w:rStyle w:val="tlid-translation"/>
          <w:rFonts w:ascii="Times New Roman" w:hAnsi="Times New Roman" w:cs="Times New Roman"/>
          <w:sz w:val="28"/>
          <w:szCs w:val="28"/>
        </w:rPr>
        <w:t xml:space="preserve"> економіки іс</w:t>
      </w:r>
      <w:r>
        <w:rPr>
          <w:rStyle w:val="tlid-translation"/>
          <w:rFonts w:ascii="Times New Roman" w:hAnsi="Times New Roman" w:cs="Times New Roman"/>
          <w:sz w:val="28"/>
          <w:szCs w:val="28"/>
        </w:rPr>
        <w:t>тотно змінилися вимоги, що пред’</w:t>
      </w:r>
      <w:r w:rsidRPr="002B3756">
        <w:rPr>
          <w:rStyle w:val="tlid-translation"/>
          <w:rFonts w:ascii="Times New Roman" w:hAnsi="Times New Roman" w:cs="Times New Roman"/>
          <w:sz w:val="28"/>
          <w:szCs w:val="28"/>
        </w:rPr>
        <w:t>являються до бухгалтерського обліку, відбулася переорієнтація в ієрархічній структурі користувачів</w:t>
      </w:r>
      <w:r w:rsidR="00B04592">
        <w:rPr>
          <w:rStyle w:val="tlid-translation"/>
          <w:rFonts w:ascii="Times New Roman" w:hAnsi="Times New Roman" w:cs="Times New Roman"/>
          <w:sz w:val="28"/>
          <w:szCs w:val="28"/>
        </w:rPr>
        <w:t xml:space="preserve"> звітних даних і їх інформаційних</w:t>
      </w:r>
      <w:r w:rsidRPr="002B3756">
        <w:rPr>
          <w:rStyle w:val="tlid-translation"/>
          <w:rFonts w:ascii="Times New Roman" w:hAnsi="Times New Roman" w:cs="Times New Roman"/>
          <w:sz w:val="28"/>
          <w:szCs w:val="28"/>
        </w:rPr>
        <w:t xml:space="preserve"> потреб. Різноманіття цілей і завдань, висунутих новими власниками, зумовило велику кількість підходів до організації обліку, </w:t>
      </w:r>
      <w:r w:rsidR="00B04592">
        <w:rPr>
          <w:rStyle w:val="tlid-translation"/>
          <w:rFonts w:ascii="Times New Roman" w:hAnsi="Times New Roman" w:cs="Times New Roman"/>
          <w:sz w:val="28"/>
          <w:szCs w:val="28"/>
        </w:rPr>
        <w:t xml:space="preserve">представленою </w:t>
      </w:r>
      <w:r w:rsidRPr="002B3756">
        <w:rPr>
          <w:rStyle w:val="tlid-translation"/>
          <w:rFonts w:ascii="Times New Roman" w:hAnsi="Times New Roman" w:cs="Times New Roman"/>
          <w:sz w:val="28"/>
          <w:szCs w:val="28"/>
        </w:rPr>
        <w:t>обліково</w:t>
      </w:r>
      <w:r w:rsidR="00B04592">
        <w:rPr>
          <w:rStyle w:val="tlid-translation"/>
          <w:rFonts w:ascii="Times New Roman" w:hAnsi="Times New Roman" w:cs="Times New Roman"/>
          <w:sz w:val="28"/>
          <w:szCs w:val="28"/>
        </w:rPr>
        <w:t>ю</w:t>
      </w:r>
      <w:r w:rsidRPr="002B3756">
        <w:rPr>
          <w:rStyle w:val="tlid-translation"/>
          <w:rFonts w:ascii="Times New Roman" w:hAnsi="Times New Roman" w:cs="Times New Roman"/>
          <w:sz w:val="28"/>
          <w:szCs w:val="28"/>
        </w:rPr>
        <w:t xml:space="preserve"> політик</w:t>
      </w:r>
      <w:r w:rsidR="00B04592">
        <w:rPr>
          <w:rStyle w:val="tlid-translation"/>
          <w:rFonts w:ascii="Times New Roman" w:hAnsi="Times New Roman" w:cs="Times New Roman"/>
          <w:sz w:val="28"/>
          <w:szCs w:val="28"/>
        </w:rPr>
        <w:t>ою</w:t>
      </w:r>
      <w:r w:rsidRPr="002B3756">
        <w:rPr>
          <w:rStyle w:val="tlid-translation"/>
          <w:rFonts w:ascii="Times New Roman" w:hAnsi="Times New Roman" w:cs="Times New Roman"/>
          <w:sz w:val="28"/>
          <w:szCs w:val="28"/>
        </w:rPr>
        <w:t>.</w:t>
      </w:r>
    </w:p>
    <w:p w:rsidR="00B04592" w:rsidRDefault="002B3756" w:rsidP="00B04592">
      <w:pPr>
        <w:spacing w:after="0" w:line="240" w:lineRule="auto"/>
        <w:ind w:firstLine="567"/>
        <w:jc w:val="both"/>
        <w:rPr>
          <w:rStyle w:val="tlid-translation"/>
          <w:rFonts w:ascii="Times New Roman" w:hAnsi="Times New Roman" w:cs="Times New Roman"/>
          <w:sz w:val="28"/>
          <w:szCs w:val="28"/>
        </w:rPr>
      </w:pPr>
      <w:r w:rsidRPr="002B3756">
        <w:rPr>
          <w:rStyle w:val="tlid-translation"/>
          <w:rFonts w:ascii="Times New Roman" w:hAnsi="Times New Roman" w:cs="Times New Roman"/>
          <w:sz w:val="28"/>
          <w:szCs w:val="28"/>
        </w:rPr>
        <w:t xml:space="preserve">Вітчизняні </w:t>
      </w:r>
      <w:r w:rsidR="00B04592">
        <w:rPr>
          <w:rStyle w:val="tlid-translation"/>
          <w:rFonts w:ascii="Times New Roman" w:hAnsi="Times New Roman" w:cs="Times New Roman"/>
          <w:sz w:val="28"/>
          <w:szCs w:val="28"/>
        </w:rPr>
        <w:t xml:space="preserve">підприємства </w:t>
      </w:r>
      <w:r w:rsidRPr="002B3756">
        <w:rPr>
          <w:rStyle w:val="tlid-translation"/>
          <w:rFonts w:ascii="Times New Roman" w:hAnsi="Times New Roman" w:cs="Times New Roman"/>
          <w:sz w:val="28"/>
          <w:szCs w:val="28"/>
        </w:rPr>
        <w:t>стикаються з постійним тиском швидко мінливих обставин і вимог ринку, зростанням конкуренції, яка змушує їх по-новому під</w:t>
      </w:r>
      <w:r w:rsidR="00B04592">
        <w:rPr>
          <w:rStyle w:val="tlid-translation"/>
          <w:rFonts w:ascii="Times New Roman" w:hAnsi="Times New Roman" w:cs="Times New Roman"/>
          <w:sz w:val="28"/>
          <w:szCs w:val="28"/>
        </w:rPr>
        <w:t>ходити</w:t>
      </w:r>
      <w:r w:rsidRPr="002B3756">
        <w:rPr>
          <w:rStyle w:val="tlid-translation"/>
          <w:rFonts w:ascii="Times New Roman" w:hAnsi="Times New Roman" w:cs="Times New Roman"/>
          <w:sz w:val="28"/>
          <w:szCs w:val="28"/>
        </w:rPr>
        <w:t xml:space="preserve"> до питань фінансового управління та облікової політики, оскільки в сучасних умовах ці системи мають для </w:t>
      </w:r>
      <w:r w:rsidR="00B04592">
        <w:rPr>
          <w:rStyle w:val="tlid-translation"/>
          <w:rFonts w:ascii="Times New Roman" w:hAnsi="Times New Roman" w:cs="Times New Roman"/>
          <w:sz w:val="28"/>
          <w:szCs w:val="28"/>
        </w:rPr>
        <w:t xml:space="preserve">них </w:t>
      </w:r>
      <w:r w:rsidRPr="002B3756">
        <w:rPr>
          <w:rStyle w:val="tlid-translation"/>
          <w:rFonts w:ascii="Times New Roman" w:hAnsi="Times New Roman" w:cs="Times New Roman"/>
          <w:sz w:val="28"/>
          <w:szCs w:val="28"/>
        </w:rPr>
        <w:t xml:space="preserve">не менш важливе значення, ніж її виробничий потенціал. </w:t>
      </w:r>
    </w:p>
    <w:p w:rsidR="00342EA9" w:rsidRDefault="00B04592" w:rsidP="00B04592">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Суб’єктам господарювання </w:t>
      </w:r>
      <w:r w:rsidR="002B3756" w:rsidRPr="002B3756">
        <w:rPr>
          <w:rStyle w:val="tlid-translation"/>
          <w:rFonts w:ascii="Times New Roman" w:hAnsi="Times New Roman" w:cs="Times New Roman"/>
          <w:sz w:val="28"/>
          <w:szCs w:val="28"/>
        </w:rPr>
        <w:t>потрібно облікова політика, здатна забезпечити високу достовірність та інформативність звітних даних, баланс інтересів різних груп користувачів звітності, мінімізацію оподаткування та ряд інших завдань.</w:t>
      </w:r>
    </w:p>
    <w:p w:rsidR="00342EA9" w:rsidRDefault="002B3756" w:rsidP="00B04592">
      <w:pPr>
        <w:spacing w:after="0" w:line="240" w:lineRule="auto"/>
        <w:ind w:firstLine="567"/>
        <w:jc w:val="both"/>
        <w:rPr>
          <w:rStyle w:val="tlid-translation"/>
          <w:rFonts w:ascii="Times New Roman" w:hAnsi="Times New Roman" w:cs="Times New Roman"/>
          <w:sz w:val="28"/>
          <w:szCs w:val="28"/>
        </w:rPr>
      </w:pPr>
      <w:r w:rsidRPr="002B3756">
        <w:rPr>
          <w:rStyle w:val="tlid-translation"/>
          <w:rFonts w:ascii="Times New Roman" w:hAnsi="Times New Roman" w:cs="Times New Roman"/>
          <w:sz w:val="28"/>
          <w:szCs w:val="28"/>
        </w:rPr>
        <w:t>Наступна група завдань пов</w:t>
      </w:r>
      <w:r w:rsidR="00342EA9">
        <w:rPr>
          <w:rStyle w:val="tlid-translation"/>
          <w:rFonts w:ascii="Times New Roman" w:hAnsi="Times New Roman" w:cs="Times New Roman"/>
          <w:sz w:val="28"/>
          <w:szCs w:val="28"/>
        </w:rPr>
        <w:t>’</w:t>
      </w:r>
      <w:r w:rsidRPr="002B3756">
        <w:rPr>
          <w:rStyle w:val="tlid-translation"/>
          <w:rFonts w:ascii="Times New Roman" w:hAnsi="Times New Roman" w:cs="Times New Roman"/>
          <w:sz w:val="28"/>
          <w:szCs w:val="28"/>
        </w:rPr>
        <w:t>язана з питаннями національної облікової політики</w:t>
      </w:r>
      <w:r w:rsidR="00342EA9">
        <w:rPr>
          <w:rStyle w:val="tlid-translation"/>
          <w:rFonts w:ascii="Times New Roman" w:hAnsi="Times New Roman" w:cs="Times New Roman"/>
          <w:sz w:val="28"/>
          <w:szCs w:val="28"/>
        </w:rPr>
        <w:t xml:space="preserve"> та спрямуванням на застосування МСФЗ и МСБО</w:t>
      </w:r>
      <w:r w:rsidRPr="002B3756">
        <w:rPr>
          <w:rStyle w:val="tlid-translation"/>
          <w:rFonts w:ascii="Times New Roman" w:hAnsi="Times New Roman" w:cs="Times New Roman"/>
          <w:sz w:val="28"/>
          <w:szCs w:val="28"/>
        </w:rPr>
        <w:t xml:space="preserve">. </w:t>
      </w:r>
      <w:r w:rsidR="00342EA9">
        <w:rPr>
          <w:rStyle w:val="tlid-translation"/>
          <w:rFonts w:ascii="Times New Roman" w:hAnsi="Times New Roman" w:cs="Times New Roman"/>
          <w:sz w:val="28"/>
          <w:szCs w:val="28"/>
        </w:rPr>
        <w:t xml:space="preserve">З огляду на це </w:t>
      </w:r>
      <w:r w:rsidRPr="002B3756">
        <w:rPr>
          <w:rStyle w:val="tlid-translation"/>
          <w:rFonts w:ascii="Times New Roman" w:hAnsi="Times New Roman" w:cs="Times New Roman"/>
          <w:sz w:val="28"/>
          <w:szCs w:val="28"/>
        </w:rPr>
        <w:t>ключовими визнаються ідеї єдності облікових принципів і, як наслідок, порівнянності звітних даних. Інтерес представляють теоретичні основи і практична реалізація зазначених принципів</w:t>
      </w:r>
      <w:r w:rsidR="00342EA9">
        <w:rPr>
          <w:rStyle w:val="tlid-translation"/>
          <w:rFonts w:ascii="Times New Roman" w:hAnsi="Times New Roman" w:cs="Times New Roman"/>
          <w:sz w:val="28"/>
          <w:szCs w:val="28"/>
        </w:rPr>
        <w:t xml:space="preserve">. </w:t>
      </w:r>
    </w:p>
    <w:p w:rsidR="002B3756" w:rsidRDefault="0072383C" w:rsidP="00B04592">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Отже, </w:t>
      </w:r>
      <w:r w:rsidRPr="0072383C">
        <w:rPr>
          <w:rStyle w:val="tlid-translation"/>
          <w:rFonts w:ascii="Times New Roman" w:hAnsi="Times New Roman" w:cs="Times New Roman"/>
          <w:sz w:val="28"/>
          <w:szCs w:val="28"/>
        </w:rPr>
        <w:t>облікова політика</w:t>
      </w:r>
      <w:r>
        <w:rPr>
          <w:rStyle w:val="tlid-translation"/>
          <w:rFonts w:ascii="Times New Roman" w:hAnsi="Times New Roman" w:cs="Times New Roman"/>
          <w:sz w:val="28"/>
          <w:szCs w:val="28"/>
        </w:rPr>
        <w:t xml:space="preserve"> </w:t>
      </w:r>
      <w:r w:rsidRPr="0072383C">
        <w:rPr>
          <w:rStyle w:val="tlid-translation"/>
          <w:rFonts w:ascii="Times New Roman" w:hAnsi="Times New Roman" w:cs="Times New Roman"/>
          <w:sz w:val="28"/>
          <w:szCs w:val="28"/>
        </w:rPr>
        <w:t>є дуже важливим інструментом</w:t>
      </w:r>
      <w:r>
        <w:rPr>
          <w:rStyle w:val="tlid-translation"/>
          <w:rFonts w:ascii="Times New Roman" w:hAnsi="Times New Roman" w:cs="Times New Roman"/>
          <w:sz w:val="28"/>
          <w:szCs w:val="28"/>
        </w:rPr>
        <w:t xml:space="preserve"> </w:t>
      </w:r>
      <w:r w:rsidRPr="0072383C">
        <w:rPr>
          <w:rStyle w:val="tlid-translation"/>
          <w:rFonts w:ascii="Times New Roman" w:hAnsi="Times New Roman" w:cs="Times New Roman"/>
          <w:sz w:val="28"/>
          <w:szCs w:val="28"/>
        </w:rPr>
        <w:t>ефективного управління господарюючим об’єктом,інструментом який поєднує державне регулювання та певну самостійність підприємства у питаннях ведення бухгалтерського обліку, формування та застосування якої ґрунтується на тому, що законодавством передбачається використання альтернативних варіантів обліку, а роль бухгалтера на підприємстві змінюється від простого реєстратора господарських операцій до активного учасника їх здійснення</w:t>
      </w:r>
      <w:r>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rPr>
        <w:sym w:font="Symbol" w:char="F05B"/>
      </w:r>
      <w:r>
        <w:rPr>
          <w:rStyle w:val="tlid-translation"/>
          <w:rFonts w:ascii="Times New Roman" w:hAnsi="Times New Roman" w:cs="Times New Roman"/>
          <w:sz w:val="28"/>
          <w:szCs w:val="28"/>
        </w:rPr>
        <w:t>1</w:t>
      </w:r>
      <w:r>
        <w:rPr>
          <w:rStyle w:val="tlid-translation"/>
          <w:rFonts w:ascii="Times New Roman" w:hAnsi="Times New Roman" w:cs="Times New Roman"/>
          <w:sz w:val="28"/>
          <w:szCs w:val="28"/>
        </w:rPr>
        <w:sym w:font="Symbol" w:char="F05D"/>
      </w:r>
      <w:r>
        <w:rPr>
          <w:rStyle w:val="tlid-translation"/>
          <w:rFonts w:ascii="Times New Roman" w:hAnsi="Times New Roman" w:cs="Times New Roman"/>
          <w:sz w:val="28"/>
          <w:szCs w:val="28"/>
        </w:rPr>
        <w:t xml:space="preserve">. </w:t>
      </w:r>
    </w:p>
    <w:p w:rsidR="0072383C" w:rsidRPr="0072383C" w:rsidRDefault="0072383C" w:rsidP="00B04592">
      <w:pPr>
        <w:spacing w:after="0" w:line="240" w:lineRule="auto"/>
        <w:ind w:firstLine="567"/>
        <w:jc w:val="both"/>
        <w:rPr>
          <w:rStyle w:val="tlid-translation"/>
          <w:rFonts w:ascii="Times New Roman" w:hAnsi="Times New Roman" w:cs="Times New Roman"/>
          <w:sz w:val="36"/>
          <w:szCs w:val="28"/>
        </w:rPr>
      </w:pPr>
      <w:r w:rsidRPr="0072383C">
        <w:rPr>
          <w:rStyle w:val="tlid-translation"/>
          <w:rFonts w:ascii="Times New Roman" w:hAnsi="Times New Roman" w:cs="Times New Roman"/>
          <w:sz w:val="28"/>
        </w:rPr>
        <w:t xml:space="preserve">Сутність облікової політики трактується неоднозначно, особливо це стосується ролі облікової політики в інформаційній системі управління підприємством. Так Наговіцина А.В. зазначає, що облікова політика є багатофункціональним інструментом і є інструментом реалізації методу бухгалтерського обліку в окремій організації. </w:t>
      </w:r>
    </w:p>
    <w:p w:rsidR="0072383C" w:rsidRPr="003C63E6" w:rsidRDefault="0072383C" w:rsidP="00B04592">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 xml:space="preserve">У МСБО 8 «Облікова політика, зміни в облікових оцінках та помилки» зазначено, що облікова політика – конкретні принципи, основи, угоди, правила та практика, що застосовуються підприємством при складанні та поданні фінансової звітності [2]. Відповідно до п. 5 ст. 8 Закону «Про бухгалтерський облік та фінансову звітність в Україні» підприємство самостійно визначає облікову політику підприємства, під якою розуміється сукупність принципів, </w:t>
      </w:r>
      <w:r w:rsidRPr="003C63E6">
        <w:rPr>
          <w:rStyle w:val="tlid-translation"/>
          <w:rFonts w:ascii="Times New Roman" w:hAnsi="Times New Roman" w:cs="Times New Roman"/>
          <w:sz w:val="28"/>
          <w:szCs w:val="28"/>
        </w:rPr>
        <w:lastRenderedPageBreak/>
        <w:t xml:space="preserve">методів і процедур, що використовуються підприємством для складання та подання фінансової звітності [3]. </w:t>
      </w:r>
    </w:p>
    <w:p w:rsidR="003C63E6" w:rsidRPr="003C63E6" w:rsidRDefault="003C63E6" w:rsidP="003C63E6">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Як зазначає </w:t>
      </w:r>
      <w:r w:rsidRPr="003C63E6">
        <w:rPr>
          <w:rStyle w:val="tlid-translation"/>
          <w:rFonts w:ascii="Times New Roman" w:hAnsi="Times New Roman" w:cs="Times New Roman"/>
          <w:sz w:val="28"/>
          <w:szCs w:val="28"/>
        </w:rPr>
        <w:t>Житний П.Є. цілком справедливо зазначає, що при розробці облікової політики необхідно керуватися не тільки специфічними, властивими бухгалтерському обліку принципами, але і загальними організаційно-управлінськими, що впливають на вибір істотних факторів і характеризує зв'язку внутрішніх господарських процесів із зовнішнім середовищем [</w:t>
      </w:r>
      <w:r>
        <w:rPr>
          <w:rStyle w:val="tlid-translation"/>
          <w:rFonts w:ascii="Times New Roman" w:hAnsi="Times New Roman" w:cs="Times New Roman"/>
          <w:sz w:val="28"/>
          <w:szCs w:val="28"/>
        </w:rPr>
        <w:t>4</w:t>
      </w:r>
      <w:r w:rsidRPr="003C63E6">
        <w:rPr>
          <w:rStyle w:val="tlid-translation"/>
          <w:rFonts w:ascii="Times New Roman" w:hAnsi="Times New Roman" w:cs="Times New Roman"/>
          <w:sz w:val="28"/>
          <w:szCs w:val="28"/>
        </w:rPr>
        <w:t>, с. 12].</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Тому, на нашу думку, </w:t>
      </w:r>
      <w:r w:rsidRPr="003C63E6">
        <w:rPr>
          <w:rStyle w:val="tlid-translation"/>
          <w:rFonts w:ascii="Times New Roman" w:hAnsi="Times New Roman" w:cs="Times New Roman"/>
          <w:sz w:val="28"/>
          <w:szCs w:val="28"/>
        </w:rPr>
        <w:t xml:space="preserve">на етапі розробки облікової </w:t>
      </w:r>
      <w:r>
        <w:rPr>
          <w:rStyle w:val="tlid-translation"/>
          <w:rFonts w:ascii="Times New Roman" w:hAnsi="Times New Roman" w:cs="Times New Roman"/>
          <w:sz w:val="28"/>
          <w:szCs w:val="28"/>
        </w:rPr>
        <w:t xml:space="preserve">політики організації необхідно </w:t>
      </w:r>
      <w:r w:rsidRPr="003C63E6">
        <w:rPr>
          <w:rStyle w:val="tlid-translation"/>
          <w:rFonts w:ascii="Times New Roman" w:hAnsi="Times New Roman" w:cs="Times New Roman"/>
          <w:sz w:val="28"/>
          <w:szCs w:val="28"/>
        </w:rPr>
        <w:t>провести аналіз наслідків впливу на бухгалтерський облік наступних факторів:</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1) сфери та видів діяльності;</w:t>
      </w:r>
    </w:p>
    <w:p w:rsidR="003C63E6" w:rsidRPr="003C63E6" w:rsidRDefault="003C63E6" w:rsidP="003C63E6">
      <w:pPr>
        <w:spacing w:after="0" w:line="240" w:lineRule="auto"/>
        <w:ind w:firstLine="567"/>
        <w:jc w:val="both"/>
        <w:rPr>
          <w:rStyle w:val="tlid-translation"/>
          <w:sz w:val="28"/>
          <w:szCs w:val="28"/>
        </w:rPr>
      </w:pPr>
      <w:r w:rsidRPr="003C63E6">
        <w:rPr>
          <w:rStyle w:val="tlid-translation"/>
          <w:rFonts w:ascii="Times New Roman" w:hAnsi="Times New Roman" w:cs="Times New Roman"/>
          <w:sz w:val="28"/>
          <w:szCs w:val="28"/>
        </w:rPr>
        <w:t>2) організаційно-правової форми організації;</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3) майбутньої структури управління підприємствам;</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4) масштабів передбачуваної діяльності організації;</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5) структури і набору об'єктів обліку у складі передбачуваних пасивів і активів організації;</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6) ступеня розвитку матеріальної бази та інформаційної системи;</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7) рівня кваліфікації бухгалтерських кадрів, планованих до набору;</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8) можливості внесення змін до чинної облікової політики організації при необхідності;</w:t>
      </w:r>
    </w:p>
    <w:p w:rsidR="003C63E6"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9) передбачуваної фінансової стратегії підприємства.</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 xml:space="preserve">Процес розробки облікової політики з акцентом на проблему </w:t>
      </w:r>
      <w:r w:rsidR="00566077">
        <w:rPr>
          <w:rStyle w:val="tlid-translation"/>
          <w:rFonts w:ascii="Times New Roman" w:hAnsi="Times New Roman" w:cs="Times New Roman"/>
          <w:sz w:val="28"/>
          <w:szCs w:val="28"/>
        </w:rPr>
        <w:t>створення дієвої обліково-аналітичної системи управління підприємством</w:t>
      </w:r>
      <w:r w:rsidRPr="003C63E6">
        <w:rPr>
          <w:rStyle w:val="tlid-translation"/>
          <w:rFonts w:ascii="Times New Roman" w:hAnsi="Times New Roman" w:cs="Times New Roman"/>
          <w:sz w:val="28"/>
          <w:szCs w:val="28"/>
        </w:rPr>
        <w:t>, на наш погляд, повинен забезпечувати вирішення щонайменш таких завдань</w:t>
      </w:r>
      <w:r w:rsidR="00566077">
        <w:rPr>
          <w:rStyle w:val="tlid-translation"/>
          <w:rFonts w:ascii="Times New Roman" w:hAnsi="Times New Roman" w:cs="Times New Roman"/>
          <w:sz w:val="28"/>
          <w:szCs w:val="28"/>
        </w:rPr>
        <w:t xml:space="preserve"> </w:t>
      </w:r>
      <w:r w:rsidR="00566077">
        <w:rPr>
          <w:rStyle w:val="tlid-translation"/>
          <w:rFonts w:ascii="Times New Roman" w:hAnsi="Times New Roman" w:cs="Times New Roman"/>
          <w:sz w:val="28"/>
          <w:szCs w:val="28"/>
        </w:rPr>
        <w:sym w:font="Symbol" w:char="F05B"/>
      </w:r>
      <w:r w:rsidR="00566077">
        <w:rPr>
          <w:rStyle w:val="tlid-translation"/>
          <w:rFonts w:ascii="Times New Roman" w:hAnsi="Times New Roman" w:cs="Times New Roman"/>
          <w:sz w:val="28"/>
          <w:szCs w:val="28"/>
        </w:rPr>
        <w:t>5</w:t>
      </w:r>
      <w:r w:rsidR="00566077">
        <w:rPr>
          <w:rStyle w:val="tlid-translation"/>
          <w:rFonts w:ascii="Times New Roman" w:hAnsi="Times New Roman" w:cs="Times New Roman"/>
          <w:sz w:val="28"/>
          <w:szCs w:val="28"/>
        </w:rPr>
        <w:sym w:font="Symbol" w:char="F05D"/>
      </w:r>
      <w:r w:rsidRPr="003C63E6">
        <w:rPr>
          <w:rStyle w:val="tlid-translation"/>
          <w:rFonts w:ascii="Times New Roman" w:hAnsi="Times New Roman" w:cs="Times New Roman"/>
          <w:sz w:val="28"/>
          <w:szCs w:val="28"/>
        </w:rPr>
        <w:t>:</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достовірного</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відображення інформації у фінансовій звітності, необхідне для всіх груп користувачів, як зовнішніх, так і внутрішніх;</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 xml:space="preserve">страхування підприємства від небезпек і загроз значної втрати коштів, зокрема пов’язаних із неповерненням дебіторської заборгованості або з неефективним вибором методів оцінки і обліку практично всіх фінансових інструментів, а також іншими аналогічними ситуаціями; </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накопичення достатніх коштів для підтримання достатнього технічного стану підприємства шляхом вибору оптимальних для різних груп об’єктів основних засобів методів нарахування амортизації;</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рівномірного відображення в обліку доходів і витрат, зокрема стосовно останніх шляхом створення забезпечень майбутніх витрат і платежів, не допускаючи водночас зайвого резервування коштів;</w:t>
      </w:r>
      <w:r w:rsidR="00566077">
        <w:rPr>
          <w:rStyle w:val="tlid-translation"/>
          <w:rFonts w:ascii="Times New Roman" w:hAnsi="Times New Roman" w:cs="Times New Roman"/>
          <w:sz w:val="28"/>
          <w:szCs w:val="28"/>
        </w:rPr>
        <w:t xml:space="preserve"> </w:t>
      </w:r>
    </w:p>
    <w:p w:rsidR="00566077"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оптимізацію оподаткування в тих випадках, де це можливо, зокрема тоді, коли методика ведення бухгалтерського обліку безпосередньо впливає на розмір прибутку для цілей оподаткування, наприклад, це стосується вибору доцільних для підприємства методів оцінки запасів;</w:t>
      </w:r>
    </w:p>
    <w:p w:rsidR="00EA3B9C" w:rsidRDefault="003C63E6" w:rsidP="003C63E6">
      <w:pPr>
        <w:spacing w:after="0" w:line="240" w:lineRule="auto"/>
        <w:ind w:firstLine="567"/>
        <w:jc w:val="both"/>
        <w:rPr>
          <w:rStyle w:val="tlid-translation"/>
          <w:rFonts w:ascii="Times New Roman" w:hAnsi="Times New Roman" w:cs="Times New Roman"/>
          <w:sz w:val="28"/>
          <w:szCs w:val="28"/>
        </w:rPr>
      </w:pPr>
      <w:r w:rsidRPr="003C63E6">
        <w:rPr>
          <w:rStyle w:val="tlid-translation"/>
          <w:rFonts w:ascii="Times New Roman" w:hAnsi="Times New Roman" w:cs="Times New Roman"/>
          <w:sz w:val="28"/>
          <w:szCs w:val="28"/>
        </w:rPr>
        <w:t>-</w:t>
      </w:r>
      <w:r w:rsidR="00566077">
        <w:rPr>
          <w:rStyle w:val="tlid-translation"/>
          <w:rFonts w:ascii="Times New Roman" w:hAnsi="Times New Roman" w:cs="Times New Roman"/>
          <w:sz w:val="28"/>
          <w:szCs w:val="28"/>
        </w:rPr>
        <w:t xml:space="preserve"> </w:t>
      </w:r>
      <w:r w:rsidRPr="003C63E6">
        <w:rPr>
          <w:rStyle w:val="tlid-translation"/>
          <w:rFonts w:ascii="Times New Roman" w:hAnsi="Times New Roman" w:cs="Times New Roman"/>
          <w:sz w:val="28"/>
          <w:szCs w:val="28"/>
        </w:rPr>
        <w:t>орієнтацію на досягнення ключових показників результативності за всіма основними напрямами діяльності, зокрема відносно фінансових показників, показників навколишнього середовища, ринку (відношень із замовниками і конкурентами), оптимізації внутрішніх бізнес-процесів і використання всіх видів ресурсів, включаючи людські тощо</w:t>
      </w:r>
      <w:r w:rsidR="00EA3B9C">
        <w:rPr>
          <w:rStyle w:val="tlid-translation"/>
          <w:rFonts w:ascii="Times New Roman" w:hAnsi="Times New Roman" w:cs="Times New Roman"/>
          <w:sz w:val="28"/>
          <w:szCs w:val="28"/>
        </w:rPr>
        <w:t>.</w:t>
      </w:r>
    </w:p>
    <w:p w:rsidR="003C63E6" w:rsidRDefault="00EA3B9C" w:rsidP="00B04592">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lastRenderedPageBreak/>
        <w:t xml:space="preserve">Отже, </w:t>
      </w:r>
      <w:r w:rsidRPr="00EA3B9C">
        <w:rPr>
          <w:rStyle w:val="tlid-translation"/>
          <w:rFonts w:ascii="Times New Roman" w:hAnsi="Times New Roman" w:cs="Times New Roman"/>
          <w:sz w:val="28"/>
          <w:szCs w:val="28"/>
        </w:rPr>
        <w:t>під час розробки облікової політики підприємств</w:t>
      </w:r>
      <w:r>
        <w:rPr>
          <w:rStyle w:val="tlid-translation"/>
          <w:rFonts w:ascii="Times New Roman" w:hAnsi="Times New Roman" w:cs="Times New Roman"/>
          <w:sz w:val="28"/>
          <w:szCs w:val="28"/>
        </w:rPr>
        <w:t xml:space="preserve"> </w:t>
      </w:r>
      <w:r w:rsidRPr="00EA3B9C">
        <w:rPr>
          <w:rStyle w:val="tlid-translation"/>
          <w:rFonts w:ascii="Times New Roman" w:hAnsi="Times New Roman" w:cs="Times New Roman"/>
          <w:sz w:val="28"/>
          <w:szCs w:val="28"/>
        </w:rPr>
        <w:t>мають бути обов’язково враховані стратегічні цілі та завдання</w:t>
      </w:r>
      <w:r>
        <w:rPr>
          <w:rStyle w:val="tlid-translation"/>
          <w:rFonts w:ascii="Times New Roman" w:hAnsi="Times New Roman" w:cs="Times New Roman"/>
          <w:sz w:val="28"/>
          <w:szCs w:val="28"/>
        </w:rPr>
        <w:t xml:space="preserve"> </w:t>
      </w:r>
      <w:r w:rsidRPr="00EA3B9C">
        <w:rPr>
          <w:rStyle w:val="tlid-translation"/>
          <w:rFonts w:ascii="Times New Roman" w:hAnsi="Times New Roman" w:cs="Times New Roman"/>
          <w:sz w:val="28"/>
          <w:szCs w:val="28"/>
        </w:rPr>
        <w:t xml:space="preserve">економічного розвитку і, зокрема, завдання підтримання економічної безпеки. Оптимізація вибору елементів облікової політики можлива лише шляхом проведення відповідних розрахунків, які враховують конкретні умови ведення господарської діяльності окремо взятого підприємства. При тому у ході розробки облікової політики доцільно застосовувати елементи фінансового планування з метою вибору тих підходів, які в найбільш повній мірі задовольнять систему управління на конкретному етапі життєвого циклу підприємства і сприяють підтриманню його </w:t>
      </w:r>
      <w:r>
        <w:rPr>
          <w:rStyle w:val="tlid-translation"/>
          <w:rFonts w:ascii="Times New Roman" w:hAnsi="Times New Roman" w:cs="Times New Roman"/>
          <w:sz w:val="28"/>
          <w:szCs w:val="28"/>
        </w:rPr>
        <w:t xml:space="preserve">стійкого </w:t>
      </w:r>
      <w:r w:rsidRPr="00EA3B9C">
        <w:rPr>
          <w:rStyle w:val="tlid-translation"/>
          <w:rFonts w:ascii="Times New Roman" w:hAnsi="Times New Roman" w:cs="Times New Roman"/>
          <w:sz w:val="28"/>
          <w:szCs w:val="28"/>
        </w:rPr>
        <w:t xml:space="preserve">економічної </w:t>
      </w:r>
      <w:r>
        <w:rPr>
          <w:rStyle w:val="tlid-translation"/>
          <w:rFonts w:ascii="Times New Roman" w:hAnsi="Times New Roman" w:cs="Times New Roman"/>
          <w:sz w:val="28"/>
          <w:szCs w:val="28"/>
        </w:rPr>
        <w:t>стану підприємства</w:t>
      </w:r>
      <w:r w:rsidRPr="00EA3B9C">
        <w:rPr>
          <w:rStyle w:val="tlid-translation"/>
          <w:rFonts w:ascii="Times New Roman" w:hAnsi="Times New Roman" w:cs="Times New Roman"/>
          <w:sz w:val="28"/>
          <w:szCs w:val="28"/>
        </w:rPr>
        <w:t>.</w:t>
      </w:r>
      <w:r>
        <w:rPr>
          <w:rStyle w:val="tlid-translation"/>
          <w:rFonts w:ascii="Times New Roman" w:hAnsi="Times New Roman" w:cs="Times New Roman"/>
          <w:sz w:val="28"/>
          <w:szCs w:val="28"/>
        </w:rPr>
        <w:t xml:space="preserve"> </w:t>
      </w:r>
    </w:p>
    <w:p w:rsidR="00EA3B9C" w:rsidRDefault="00EA3B9C" w:rsidP="00B04592">
      <w:pPr>
        <w:spacing w:after="0" w:line="240" w:lineRule="auto"/>
        <w:ind w:firstLine="567"/>
        <w:jc w:val="both"/>
        <w:rPr>
          <w:rStyle w:val="tlid-translation"/>
          <w:rFonts w:ascii="Times New Roman" w:hAnsi="Times New Roman" w:cs="Times New Roman"/>
          <w:sz w:val="28"/>
          <w:szCs w:val="28"/>
        </w:rPr>
      </w:pPr>
    </w:p>
    <w:p w:rsidR="00EA3B9C" w:rsidRDefault="00EA3B9C" w:rsidP="00B04592">
      <w:pPr>
        <w:spacing w:after="0" w:line="240" w:lineRule="auto"/>
        <w:ind w:firstLine="567"/>
        <w:jc w:val="both"/>
        <w:rPr>
          <w:rStyle w:val="tlid-translation"/>
          <w:rFonts w:ascii="Times New Roman" w:hAnsi="Times New Roman" w:cs="Times New Roman"/>
          <w:sz w:val="28"/>
          <w:szCs w:val="28"/>
        </w:rPr>
      </w:pPr>
    </w:p>
    <w:p w:rsidR="003C63E6" w:rsidRPr="005A4279" w:rsidRDefault="003C63E6" w:rsidP="003C63E6">
      <w:pPr>
        <w:spacing w:after="0" w:line="240" w:lineRule="auto"/>
        <w:ind w:firstLine="567"/>
        <w:jc w:val="center"/>
        <w:rPr>
          <w:rStyle w:val="tlid-translation"/>
          <w:rFonts w:ascii="Times New Roman" w:hAnsi="Times New Roman" w:cs="Times New Roman"/>
          <w:sz w:val="24"/>
          <w:szCs w:val="24"/>
        </w:rPr>
      </w:pPr>
      <w:r w:rsidRPr="005A4279">
        <w:rPr>
          <w:rStyle w:val="tlid-translation"/>
          <w:rFonts w:ascii="Times New Roman" w:hAnsi="Times New Roman" w:cs="Times New Roman"/>
          <w:sz w:val="24"/>
          <w:szCs w:val="24"/>
        </w:rPr>
        <w:t>Список використаних джерел</w:t>
      </w:r>
    </w:p>
    <w:p w:rsidR="003C63E6" w:rsidRPr="005A4279" w:rsidRDefault="003C63E6" w:rsidP="003C63E6">
      <w:pPr>
        <w:spacing w:after="0" w:line="240" w:lineRule="auto"/>
        <w:ind w:firstLine="567"/>
        <w:jc w:val="center"/>
        <w:rPr>
          <w:rStyle w:val="tlid-translation"/>
          <w:rFonts w:ascii="Times New Roman" w:hAnsi="Times New Roman" w:cs="Times New Roman"/>
          <w:sz w:val="24"/>
          <w:szCs w:val="24"/>
        </w:rPr>
      </w:pPr>
    </w:p>
    <w:p w:rsidR="0072383C" w:rsidRPr="005A4279" w:rsidRDefault="0072383C" w:rsidP="00B04592">
      <w:pPr>
        <w:spacing w:after="0" w:line="240" w:lineRule="auto"/>
        <w:ind w:firstLine="567"/>
        <w:jc w:val="both"/>
        <w:rPr>
          <w:rFonts w:ascii="Times New Roman" w:hAnsi="Times New Roman" w:cs="Times New Roman"/>
          <w:sz w:val="24"/>
          <w:szCs w:val="24"/>
        </w:rPr>
      </w:pPr>
      <w:r w:rsidRPr="005A4279">
        <w:rPr>
          <w:rStyle w:val="tlid-translation"/>
          <w:rFonts w:ascii="Times New Roman" w:hAnsi="Times New Roman" w:cs="Times New Roman"/>
          <w:sz w:val="24"/>
          <w:szCs w:val="24"/>
        </w:rPr>
        <w:t xml:space="preserve">1. </w:t>
      </w:r>
      <w:r w:rsidRPr="005A4279">
        <w:rPr>
          <w:rFonts w:ascii="Times New Roman" w:hAnsi="Times New Roman" w:cs="Times New Roman"/>
          <w:sz w:val="24"/>
          <w:szCs w:val="24"/>
        </w:rPr>
        <w:t xml:space="preserve">Кубік В.Д. Побудова ефективної моделі облікової політики підприємства – запорука ефективного управління і стратегічного розвитку Режим доступу: </w:t>
      </w:r>
      <w:hyperlink r:id="rId4" w:history="1">
        <w:r w:rsidR="003C63E6" w:rsidRPr="005A4279">
          <w:rPr>
            <w:rStyle w:val="a4"/>
            <w:rFonts w:ascii="Times New Roman" w:hAnsi="Times New Roman" w:cs="Times New Roman"/>
            <w:sz w:val="24"/>
            <w:szCs w:val="24"/>
          </w:rPr>
          <w:t>http://dspace.oneu.edu.ua/jspui/bitstream/123456789/7866.pdf</w:t>
        </w:r>
      </w:hyperlink>
    </w:p>
    <w:p w:rsidR="003C63E6" w:rsidRPr="005A4279" w:rsidRDefault="003C63E6" w:rsidP="003C63E6">
      <w:pPr>
        <w:spacing w:after="0" w:line="240" w:lineRule="auto"/>
        <w:ind w:firstLine="567"/>
        <w:jc w:val="both"/>
        <w:rPr>
          <w:rFonts w:ascii="Times New Roman" w:hAnsi="Times New Roman" w:cs="Times New Roman"/>
          <w:sz w:val="24"/>
          <w:szCs w:val="24"/>
        </w:rPr>
      </w:pPr>
      <w:r w:rsidRPr="005A4279">
        <w:rPr>
          <w:sz w:val="24"/>
          <w:szCs w:val="24"/>
        </w:rPr>
        <w:t xml:space="preserve">2. </w:t>
      </w:r>
      <w:r w:rsidRPr="005A4279">
        <w:rPr>
          <w:rFonts w:ascii="Times New Roman" w:hAnsi="Times New Roman" w:cs="Times New Roman"/>
          <w:sz w:val="24"/>
          <w:szCs w:val="24"/>
        </w:rPr>
        <w:t>Міжнародний стандарт бухгалтерського обліку 8 «Облікові політики, зміни в облікових оцінках та помилки» [Електронний ресурс]. –Режим доступу: http://zakon4.rada.gov.ua/laws/show/929_020</w:t>
      </w:r>
    </w:p>
    <w:p w:rsidR="003C63E6" w:rsidRPr="005A4279" w:rsidRDefault="003C63E6" w:rsidP="00B04592">
      <w:pPr>
        <w:spacing w:after="0" w:line="240" w:lineRule="auto"/>
        <w:ind w:firstLine="567"/>
        <w:jc w:val="both"/>
        <w:rPr>
          <w:rFonts w:ascii="Times New Roman" w:hAnsi="Times New Roman" w:cs="Times New Roman"/>
          <w:sz w:val="24"/>
          <w:szCs w:val="24"/>
        </w:rPr>
      </w:pPr>
      <w:r w:rsidRPr="005A4279">
        <w:rPr>
          <w:rFonts w:ascii="Times New Roman" w:hAnsi="Times New Roman" w:cs="Times New Roman"/>
          <w:sz w:val="24"/>
          <w:szCs w:val="24"/>
        </w:rPr>
        <w:t xml:space="preserve">3. Про бухгалтерський облік та фінансову звітність в Україні: Закон України від 16.07.1999г. No 996-XIV(зі змінами та доповненнями) [Електронний ресурс]. –Режим доступу: </w:t>
      </w:r>
      <w:hyperlink r:id="rId5" w:history="1">
        <w:r w:rsidRPr="005A4279">
          <w:rPr>
            <w:rStyle w:val="a4"/>
            <w:rFonts w:ascii="Times New Roman" w:hAnsi="Times New Roman" w:cs="Times New Roman"/>
            <w:sz w:val="24"/>
            <w:szCs w:val="24"/>
          </w:rPr>
          <w:t>http://zakon4.rada.gov.ua/laws/show/996-14</w:t>
        </w:r>
      </w:hyperlink>
      <w:r w:rsidRPr="005A4279">
        <w:rPr>
          <w:rFonts w:ascii="Times New Roman" w:hAnsi="Times New Roman" w:cs="Times New Roman"/>
          <w:sz w:val="24"/>
          <w:szCs w:val="24"/>
        </w:rPr>
        <w:t>.</w:t>
      </w:r>
    </w:p>
    <w:p w:rsidR="003C63E6" w:rsidRPr="005A4279" w:rsidRDefault="003C63E6" w:rsidP="00B04592">
      <w:pPr>
        <w:spacing w:after="0" w:line="240" w:lineRule="auto"/>
        <w:ind w:firstLine="567"/>
        <w:jc w:val="both"/>
        <w:rPr>
          <w:rStyle w:val="tlid-translation"/>
          <w:rFonts w:ascii="Times New Roman" w:hAnsi="Times New Roman" w:cs="Times New Roman"/>
          <w:sz w:val="24"/>
          <w:szCs w:val="24"/>
        </w:rPr>
      </w:pPr>
      <w:r w:rsidRPr="005A4279">
        <w:rPr>
          <w:rStyle w:val="tlid-translation"/>
          <w:rFonts w:ascii="Times New Roman" w:hAnsi="Times New Roman" w:cs="Times New Roman"/>
          <w:sz w:val="24"/>
          <w:szCs w:val="24"/>
        </w:rPr>
        <w:t>4. Житний П. Є. Організаційно-методологічні аспекти облікової політики фінансово-промислових систем: автореф. дис. на здобуття наук. ступеня доктора екон. наук: спец. 08.00.09 «Бухгалтерський облік, аналіз та аудит» / П.Є. Житний. –Київ, 2009.–35 с</w:t>
      </w:r>
    </w:p>
    <w:p w:rsidR="00566077" w:rsidRPr="005A4279" w:rsidRDefault="00566077" w:rsidP="00B04592">
      <w:pPr>
        <w:spacing w:after="0" w:line="240" w:lineRule="auto"/>
        <w:ind w:firstLine="567"/>
        <w:jc w:val="both"/>
        <w:rPr>
          <w:rStyle w:val="tlid-translation"/>
          <w:rFonts w:ascii="Times New Roman" w:hAnsi="Times New Roman" w:cs="Times New Roman"/>
          <w:sz w:val="24"/>
          <w:szCs w:val="24"/>
        </w:rPr>
      </w:pPr>
      <w:r w:rsidRPr="005A4279">
        <w:rPr>
          <w:rStyle w:val="tlid-translation"/>
          <w:rFonts w:ascii="Times New Roman" w:hAnsi="Times New Roman" w:cs="Times New Roman"/>
          <w:sz w:val="24"/>
          <w:szCs w:val="24"/>
        </w:rPr>
        <w:t>5. Лоханова Н.О. Облікова політика як інструмент управління економічною безпекою компанії: Режим доступу: http://dspace.oneu.edu.ua/jspui/bitstream/123456789/2467/197.pdf</w:t>
      </w:r>
    </w:p>
    <w:p w:rsidR="003C63E6" w:rsidRPr="005A4279" w:rsidRDefault="003C63E6" w:rsidP="00B04592">
      <w:pPr>
        <w:spacing w:after="0" w:line="240" w:lineRule="auto"/>
        <w:ind w:firstLine="567"/>
        <w:jc w:val="both"/>
        <w:rPr>
          <w:rStyle w:val="tlid-translation"/>
          <w:rFonts w:ascii="Times New Roman" w:hAnsi="Times New Roman" w:cs="Times New Roman"/>
          <w:sz w:val="24"/>
          <w:szCs w:val="24"/>
        </w:rPr>
      </w:pPr>
    </w:p>
    <w:sectPr w:rsidR="003C63E6" w:rsidRPr="005A4279" w:rsidSect="002B37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56"/>
    <w:rsid w:val="00000AA6"/>
    <w:rsid w:val="00005AC0"/>
    <w:rsid w:val="00043FDD"/>
    <w:rsid w:val="00051722"/>
    <w:rsid w:val="00067E89"/>
    <w:rsid w:val="0007199E"/>
    <w:rsid w:val="00074554"/>
    <w:rsid w:val="000B63E5"/>
    <w:rsid w:val="000D211E"/>
    <w:rsid w:val="000F58C9"/>
    <w:rsid w:val="000F65C0"/>
    <w:rsid w:val="00112F2A"/>
    <w:rsid w:val="00132F06"/>
    <w:rsid w:val="00150F01"/>
    <w:rsid w:val="00175F7C"/>
    <w:rsid w:val="001B73B6"/>
    <w:rsid w:val="001C2632"/>
    <w:rsid w:val="001C2AE8"/>
    <w:rsid w:val="001F20E0"/>
    <w:rsid w:val="002127EC"/>
    <w:rsid w:val="00212B29"/>
    <w:rsid w:val="002331DC"/>
    <w:rsid w:val="00246EC6"/>
    <w:rsid w:val="00264F5A"/>
    <w:rsid w:val="00271704"/>
    <w:rsid w:val="002B0C5E"/>
    <w:rsid w:val="002B3756"/>
    <w:rsid w:val="002D27C5"/>
    <w:rsid w:val="002D4752"/>
    <w:rsid w:val="00304D7F"/>
    <w:rsid w:val="003160F5"/>
    <w:rsid w:val="00321A47"/>
    <w:rsid w:val="00321B0A"/>
    <w:rsid w:val="00323455"/>
    <w:rsid w:val="003351F3"/>
    <w:rsid w:val="00342EA9"/>
    <w:rsid w:val="003866B5"/>
    <w:rsid w:val="003903E9"/>
    <w:rsid w:val="003A0399"/>
    <w:rsid w:val="003A1419"/>
    <w:rsid w:val="003B4FDC"/>
    <w:rsid w:val="003C63E6"/>
    <w:rsid w:val="003E35CB"/>
    <w:rsid w:val="003E79DF"/>
    <w:rsid w:val="003F5D8D"/>
    <w:rsid w:val="00403D6E"/>
    <w:rsid w:val="00421BA5"/>
    <w:rsid w:val="004618FB"/>
    <w:rsid w:val="00466B5C"/>
    <w:rsid w:val="004907CD"/>
    <w:rsid w:val="004A66F2"/>
    <w:rsid w:val="004C56BF"/>
    <w:rsid w:val="004E7088"/>
    <w:rsid w:val="005044AD"/>
    <w:rsid w:val="00534566"/>
    <w:rsid w:val="0054496F"/>
    <w:rsid w:val="00566077"/>
    <w:rsid w:val="00566BBB"/>
    <w:rsid w:val="00572DEE"/>
    <w:rsid w:val="005A4279"/>
    <w:rsid w:val="005F2EA8"/>
    <w:rsid w:val="00607ECB"/>
    <w:rsid w:val="006131D4"/>
    <w:rsid w:val="0061518A"/>
    <w:rsid w:val="00666C9D"/>
    <w:rsid w:val="006740DD"/>
    <w:rsid w:val="00677817"/>
    <w:rsid w:val="006961A5"/>
    <w:rsid w:val="0069655B"/>
    <w:rsid w:val="006C6EA5"/>
    <w:rsid w:val="006E286E"/>
    <w:rsid w:val="006F1430"/>
    <w:rsid w:val="006F2DE9"/>
    <w:rsid w:val="00700E05"/>
    <w:rsid w:val="007024BE"/>
    <w:rsid w:val="0072383C"/>
    <w:rsid w:val="00754E7B"/>
    <w:rsid w:val="007760B9"/>
    <w:rsid w:val="007A0995"/>
    <w:rsid w:val="007A5770"/>
    <w:rsid w:val="007B0F47"/>
    <w:rsid w:val="007C3292"/>
    <w:rsid w:val="007D2E69"/>
    <w:rsid w:val="007D5752"/>
    <w:rsid w:val="0084183F"/>
    <w:rsid w:val="00850BFA"/>
    <w:rsid w:val="00862690"/>
    <w:rsid w:val="00867A5A"/>
    <w:rsid w:val="00870E3E"/>
    <w:rsid w:val="008742A8"/>
    <w:rsid w:val="008841C8"/>
    <w:rsid w:val="00893904"/>
    <w:rsid w:val="00895147"/>
    <w:rsid w:val="008F18A9"/>
    <w:rsid w:val="00907551"/>
    <w:rsid w:val="00946162"/>
    <w:rsid w:val="00957EFC"/>
    <w:rsid w:val="0096343E"/>
    <w:rsid w:val="0098015B"/>
    <w:rsid w:val="009A26C1"/>
    <w:rsid w:val="009B6642"/>
    <w:rsid w:val="009B776A"/>
    <w:rsid w:val="009C7511"/>
    <w:rsid w:val="009E335E"/>
    <w:rsid w:val="009F7B88"/>
    <w:rsid w:val="00A0675C"/>
    <w:rsid w:val="00A11E4B"/>
    <w:rsid w:val="00A13198"/>
    <w:rsid w:val="00A3144D"/>
    <w:rsid w:val="00A3231C"/>
    <w:rsid w:val="00A37C1F"/>
    <w:rsid w:val="00A445A7"/>
    <w:rsid w:val="00A46A87"/>
    <w:rsid w:val="00A47F81"/>
    <w:rsid w:val="00A57024"/>
    <w:rsid w:val="00A60BA8"/>
    <w:rsid w:val="00A746FD"/>
    <w:rsid w:val="00A76CCF"/>
    <w:rsid w:val="00A8723C"/>
    <w:rsid w:val="00A959AF"/>
    <w:rsid w:val="00AC7336"/>
    <w:rsid w:val="00B04592"/>
    <w:rsid w:val="00B04CB8"/>
    <w:rsid w:val="00B13702"/>
    <w:rsid w:val="00B614EB"/>
    <w:rsid w:val="00B842A6"/>
    <w:rsid w:val="00B9000A"/>
    <w:rsid w:val="00BB69B9"/>
    <w:rsid w:val="00BC6130"/>
    <w:rsid w:val="00BD12BB"/>
    <w:rsid w:val="00BE131E"/>
    <w:rsid w:val="00BE7724"/>
    <w:rsid w:val="00C11558"/>
    <w:rsid w:val="00C12A1F"/>
    <w:rsid w:val="00C23E86"/>
    <w:rsid w:val="00C36F6B"/>
    <w:rsid w:val="00C41965"/>
    <w:rsid w:val="00C44298"/>
    <w:rsid w:val="00C50007"/>
    <w:rsid w:val="00C73E90"/>
    <w:rsid w:val="00C858D9"/>
    <w:rsid w:val="00C9382E"/>
    <w:rsid w:val="00C95321"/>
    <w:rsid w:val="00C9575E"/>
    <w:rsid w:val="00CB142C"/>
    <w:rsid w:val="00CB6576"/>
    <w:rsid w:val="00CD26D0"/>
    <w:rsid w:val="00CE2F70"/>
    <w:rsid w:val="00CF0686"/>
    <w:rsid w:val="00CF37DE"/>
    <w:rsid w:val="00D075AC"/>
    <w:rsid w:val="00D16B15"/>
    <w:rsid w:val="00D2585D"/>
    <w:rsid w:val="00D43B26"/>
    <w:rsid w:val="00D50B50"/>
    <w:rsid w:val="00D64DD3"/>
    <w:rsid w:val="00D704D7"/>
    <w:rsid w:val="00D93F83"/>
    <w:rsid w:val="00DD02AE"/>
    <w:rsid w:val="00DE1D39"/>
    <w:rsid w:val="00DE6435"/>
    <w:rsid w:val="00DF56C9"/>
    <w:rsid w:val="00E20514"/>
    <w:rsid w:val="00E61ED2"/>
    <w:rsid w:val="00E656C0"/>
    <w:rsid w:val="00E91CE6"/>
    <w:rsid w:val="00E92D0C"/>
    <w:rsid w:val="00EA1A40"/>
    <w:rsid w:val="00EA3B9C"/>
    <w:rsid w:val="00EA63D9"/>
    <w:rsid w:val="00EC0C94"/>
    <w:rsid w:val="00F05924"/>
    <w:rsid w:val="00F07A00"/>
    <w:rsid w:val="00F16700"/>
    <w:rsid w:val="00F277C4"/>
    <w:rsid w:val="00F33EF0"/>
    <w:rsid w:val="00F60787"/>
    <w:rsid w:val="00F7111B"/>
    <w:rsid w:val="00F72A2B"/>
    <w:rsid w:val="00F8523A"/>
    <w:rsid w:val="00F8791B"/>
    <w:rsid w:val="00F90C63"/>
    <w:rsid w:val="00F91202"/>
    <w:rsid w:val="00F92CC2"/>
    <w:rsid w:val="00FD1D73"/>
    <w:rsid w:val="00FE2B4E"/>
    <w:rsid w:val="00FF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7A502-1F4D-4985-975C-968CFEAC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2B375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7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37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a0"/>
    <w:rsid w:val="002B3756"/>
  </w:style>
  <w:style w:type="character" w:styleId="a4">
    <w:name w:val="Hyperlink"/>
    <w:basedOn w:val="a0"/>
    <w:uiPriority w:val="99"/>
    <w:unhideWhenUsed/>
    <w:rsid w:val="003C63E6"/>
    <w:rPr>
      <w:color w:val="0000FF" w:themeColor="hyperlink"/>
      <w:u w:val="single"/>
    </w:rPr>
  </w:style>
  <w:style w:type="character" w:customStyle="1" w:styleId="textexposedshow">
    <w:name w:val="text_exposed_show"/>
    <w:rsid w:val="00CE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05609">
      <w:bodyDiv w:val="1"/>
      <w:marLeft w:val="0"/>
      <w:marRight w:val="0"/>
      <w:marTop w:val="0"/>
      <w:marBottom w:val="0"/>
      <w:divBdr>
        <w:top w:val="none" w:sz="0" w:space="0" w:color="auto"/>
        <w:left w:val="none" w:sz="0" w:space="0" w:color="auto"/>
        <w:bottom w:val="none" w:sz="0" w:space="0" w:color="auto"/>
        <w:right w:val="none" w:sz="0" w:space="0" w:color="auto"/>
      </w:divBdr>
    </w:div>
    <w:div w:id="938366259">
      <w:bodyDiv w:val="1"/>
      <w:marLeft w:val="0"/>
      <w:marRight w:val="0"/>
      <w:marTop w:val="0"/>
      <w:marBottom w:val="0"/>
      <w:divBdr>
        <w:top w:val="none" w:sz="0" w:space="0" w:color="auto"/>
        <w:left w:val="none" w:sz="0" w:space="0" w:color="auto"/>
        <w:bottom w:val="none" w:sz="0" w:space="0" w:color="auto"/>
        <w:right w:val="none" w:sz="0" w:space="0" w:color="auto"/>
      </w:divBdr>
    </w:div>
    <w:div w:id="1298491256">
      <w:bodyDiv w:val="1"/>
      <w:marLeft w:val="0"/>
      <w:marRight w:val="0"/>
      <w:marTop w:val="0"/>
      <w:marBottom w:val="0"/>
      <w:divBdr>
        <w:top w:val="none" w:sz="0" w:space="0" w:color="auto"/>
        <w:left w:val="none" w:sz="0" w:space="0" w:color="auto"/>
        <w:bottom w:val="none" w:sz="0" w:space="0" w:color="auto"/>
        <w:right w:val="none" w:sz="0" w:space="0" w:color="auto"/>
      </w:divBdr>
    </w:div>
    <w:div w:id="21194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4.rada.gov.ua/laws/show/996-14" TargetMode="External"/><Relationship Id="rId4" Type="http://schemas.openxmlformats.org/officeDocument/2006/relationships/hyperlink" Target="http://dspace.oneu.edu.ua/jspui/bitstream/123456789/786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4717</Words>
  <Characters>2689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Natasha</cp:lastModifiedBy>
  <cp:revision>2</cp:revision>
  <dcterms:created xsi:type="dcterms:W3CDTF">2019-11-07T17:40:00Z</dcterms:created>
  <dcterms:modified xsi:type="dcterms:W3CDTF">2019-11-07T17:40:00Z</dcterms:modified>
</cp:coreProperties>
</file>