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903" w:rsidRPr="00D577BD" w:rsidRDefault="008F0903" w:rsidP="00D577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77BD">
        <w:rPr>
          <w:rFonts w:ascii="Times New Roman" w:hAnsi="Times New Roman"/>
          <w:sz w:val="28"/>
          <w:szCs w:val="28"/>
        </w:rPr>
        <w:t>ОСОБЛИВОСТІ БУХГАЛТЕРСЬКОГО ОБЛІКУ ЕЛЕКТРОННИХ ГРОШЕЙ</w:t>
      </w:r>
    </w:p>
    <w:p w:rsidR="00D577BD" w:rsidRPr="00D577BD" w:rsidRDefault="00D577BD" w:rsidP="00D57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7BD" w:rsidRPr="00D67B2A" w:rsidRDefault="00D577BD" w:rsidP="00D67B2A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D67B2A">
        <w:rPr>
          <w:rFonts w:ascii="Times New Roman" w:hAnsi="Times New Roman"/>
          <w:b/>
          <w:i/>
          <w:sz w:val="28"/>
          <w:szCs w:val="28"/>
        </w:rPr>
        <w:t>Кузуб М. В.</w:t>
      </w:r>
      <w:r w:rsidRPr="00D67B2A">
        <w:rPr>
          <w:rFonts w:ascii="Times New Roman" w:hAnsi="Times New Roman"/>
          <w:i/>
          <w:sz w:val="28"/>
          <w:szCs w:val="28"/>
        </w:rPr>
        <w:t xml:space="preserve">,  старший викладач, кафедра </w:t>
      </w:r>
      <w:r w:rsidR="00D029DA" w:rsidRPr="00D67B2A">
        <w:rPr>
          <w:rFonts w:ascii="Times New Roman" w:hAnsi="Times New Roman"/>
          <w:i/>
          <w:sz w:val="28"/>
          <w:szCs w:val="28"/>
        </w:rPr>
        <w:t>о</w:t>
      </w:r>
      <w:r w:rsidRPr="00D67B2A">
        <w:rPr>
          <w:rFonts w:ascii="Times New Roman" w:hAnsi="Times New Roman"/>
          <w:i/>
          <w:sz w:val="28"/>
          <w:szCs w:val="28"/>
        </w:rPr>
        <w:t xml:space="preserve">бліку та оподаткування, </w:t>
      </w:r>
      <w:r w:rsidRPr="00D67B2A">
        <w:rPr>
          <w:rFonts w:ascii="Times New Roman" w:hAnsi="Times New Roman"/>
          <w:b/>
          <w:i/>
          <w:sz w:val="28"/>
          <w:szCs w:val="28"/>
        </w:rPr>
        <w:t>Коновалов Б.</w:t>
      </w:r>
      <w:r w:rsidR="00D67B2A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D67B2A">
        <w:rPr>
          <w:rFonts w:ascii="Times New Roman" w:hAnsi="Times New Roman"/>
          <w:b/>
          <w:i/>
          <w:sz w:val="28"/>
          <w:szCs w:val="28"/>
        </w:rPr>
        <w:t>Ю.</w:t>
      </w:r>
      <w:r w:rsidRPr="00D67B2A">
        <w:rPr>
          <w:rFonts w:ascii="Times New Roman" w:hAnsi="Times New Roman"/>
          <w:i/>
          <w:sz w:val="28"/>
          <w:szCs w:val="28"/>
        </w:rPr>
        <w:t>, бакалавр,</w:t>
      </w:r>
      <w:r w:rsidR="00D67B2A" w:rsidRPr="00D67B2A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D67B2A">
        <w:rPr>
          <w:rFonts w:ascii="Times New Roman" w:hAnsi="Times New Roman"/>
          <w:i/>
          <w:sz w:val="28"/>
          <w:szCs w:val="28"/>
        </w:rPr>
        <w:t>Київський національний торговельно-економічний університет, м. Київ</w:t>
      </w:r>
    </w:p>
    <w:p w:rsidR="00D577BD" w:rsidRPr="00D577BD" w:rsidRDefault="00D577BD" w:rsidP="00D577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0903" w:rsidRPr="00D577BD" w:rsidRDefault="008F0903" w:rsidP="00D577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7BD">
        <w:rPr>
          <w:rFonts w:ascii="Times New Roman" w:hAnsi="Times New Roman"/>
          <w:sz w:val="28"/>
          <w:szCs w:val="28"/>
        </w:rPr>
        <w:t>За останні роки в Україні, так само як і в усьому світі, запроваджуються все більше інновацій у різні сфери життя, зокрема фінансових послуг.  Крім того, позитивна динаміка збільшення Інтернет-аудиторії, а також збільшення та розвиток Інтернет-торгівлі призводять до появи нових можливостей – розрахунк</w:t>
      </w:r>
      <w:r w:rsidR="008A7F39" w:rsidRPr="00D577BD">
        <w:rPr>
          <w:rFonts w:ascii="Times New Roman" w:hAnsi="Times New Roman"/>
          <w:sz w:val="28"/>
          <w:szCs w:val="28"/>
        </w:rPr>
        <w:t>ів</w:t>
      </w:r>
      <w:r w:rsidRPr="00D577BD">
        <w:rPr>
          <w:rFonts w:ascii="Times New Roman" w:hAnsi="Times New Roman"/>
          <w:sz w:val="28"/>
          <w:szCs w:val="28"/>
        </w:rPr>
        <w:t xml:space="preserve"> за доставлені товари або надані послуги електронними грошима. </w:t>
      </w:r>
      <w:r w:rsidR="008A7F39" w:rsidRPr="00D577BD">
        <w:rPr>
          <w:rFonts w:ascii="Times New Roman" w:hAnsi="Times New Roman"/>
          <w:sz w:val="28"/>
          <w:szCs w:val="28"/>
        </w:rPr>
        <w:t>Саме тому, значний технологічний розвиток, а також поширення електронних платежів та необхідність їх обліку призводять до висвітлення актуальності даної теми. Окремі аспекти сутності такого явища, як електронні гроші розглядають у своїх працях такі українські вчені: В, Міщенко, Т. Валентинова, А. В. Бодюк, І. О. Грубін, О. Махаєва, М. Савлук, О. С. Олексюк, К. А. Ягмур тощо.</w:t>
      </w:r>
    </w:p>
    <w:p w:rsidR="00D577BD" w:rsidRPr="00D577BD" w:rsidRDefault="008A7F39" w:rsidP="00D577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7BD">
        <w:rPr>
          <w:rFonts w:ascii="Times New Roman" w:hAnsi="Times New Roman"/>
          <w:sz w:val="28"/>
          <w:szCs w:val="28"/>
        </w:rPr>
        <w:t>Термін “електроні гроші” трактується в постанові Національного Банку України №481 “Положення про електронні гроші”  і визнає їх як одиниці вартості, які зберігаються на електронному пристрої, приймаються як засіб платежу іншими</w:t>
      </w:r>
      <w:r w:rsidR="001B1662" w:rsidRPr="00D577BD">
        <w:rPr>
          <w:rFonts w:ascii="Times New Roman" w:hAnsi="Times New Roman"/>
          <w:sz w:val="28"/>
          <w:szCs w:val="28"/>
        </w:rPr>
        <w:t>, крім емітента особами і є грошовим зобов’язанням емітента</w:t>
      </w:r>
      <w:r w:rsidR="00D577BD" w:rsidRPr="00D577BD">
        <w:rPr>
          <w:rFonts w:ascii="Times New Roman" w:hAnsi="Times New Roman"/>
          <w:sz w:val="28"/>
          <w:szCs w:val="28"/>
        </w:rPr>
        <w:t>[1]</w:t>
      </w:r>
      <w:r w:rsidR="001B1662" w:rsidRPr="00D577BD">
        <w:rPr>
          <w:rFonts w:ascii="Times New Roman" w:hAnsi="Times New Roman"/>
          <w:sz w:val="28"/>
          <w:szCs w:val="28"/>
        </w:rPr>
        <w:t>. Тобто, по суті це умовні знаки, які також певною мірою залежать від курсу валют, але ніде крім мережі Інтернет не існують.  Важливими особливостями електронних грошей є: портативність, дешевість у виготовленні, здатність до швидкого відтворення та відносна міцність</w:t>
      </w:r>
      <w:r w:rsidR="00ED303F" w:rsidRPr="00D577BD">
        <w:rPr>
          <w:rFonts w:ascii="Times New Roman" w:hAnsi="Times New Roman"/>
          <w:sz w:val="28"/>
          <w:szCs w:val="28"/>
        </w:rPr>
        <w:t>, можливість відкрити будь-кому власний електронний рахунок і слідкувати за здійсненням операції через e-mail, SMS.</w:t>
      </w:r>
      <w:r w:rsidR="001B1662" w:rsidRPr="00D577BD">
        <w:rPr>
          <w:rFonts w:ascii="Times New Roman" w:hAnsi="Times New Roman"/>
          <w:sz w:val="28"/>
          <w:szCs w:val="28"/>
        </w:rPr>
        <w:t xml:space="preserve"> </w:t>
      </w:r>
      <w:r w:rsidR="00922537" w:rsidRPr="00D577BD">
        <w:rPr>
          <w:rFonts w:ascii="Times New Roman" w:hAnsi="Times New Roman"/>
          <w:sz w:val="28"/>
          <w:szCs w:val="28"/>
        </w:rPr>
        <w:t xml:space="preserve">Крім того, електронні гроші неможливо підробити завдяки захисту криптографічними алгоритмами та іншими електронними засобами. Проте </w:t>
      </w:r>
      <w:r w:rsidR="00ED303F" w:rsidRPr="00D577BD">
        <w:rPr>
          <w:rFonts w:ascii="Times New Roman" w:hAnsi="Times New Roman"/>
          <w:sz w:val="28"/>
          <w:szCs w:val="28"/>
        </w:rPr>
        <w:t xml:space="preserve">існують і певні недоліки, що пов’язані із недостатньою технологічною безпекою та </w:t>
      </w:r>
      <w:r w:rsidR="00922537" w:rsidRPr="00D577BD">
        <w:rPr>
          <w:rFonts w:ascii="Times New Roman" w:hAnsi="Times New Roman"/>
          <w:sz w:val="28"/>
          <w:szCs w:val="28"/>
        </w:rPr>
        <w:t>збільшення</w:t>
      </w:r>
      <w:r w:rsidR="00ED303F" w:rsidRPr="00D577BD">
        <w:rPr>
          <w:rFonts w:ascii="Times New Roman" w:hAnsi="Times New Roman"/>
          <w:sz w:val="28"/>
          <w:szCs w:val="28"/>
        </w:rPr>
        <w:t>м</w:t>
      </w:r>
      <w:r w:rsidR="00922537" w:rsidRPr="00D577BD">
        <w:rPr>
          <w:rFonts w:ascii="Times New Roman" w:hAnsi="Times New Roman"/>
          <w:sz w:val="28"/>
          <w:szCs w:val="28"/>
        </w:rPr>
        <w:t xml:space="preserve"> кількості систем електронних розрахунків в Україні</w:t>
      </w:r>
      <w:r w:rsidR="00ED303F" w:rsidRPr="00D577BD">
        <w:rPr>
          <w:rFonts w:ascii="Times New Roman" w:hAnsi="Times New Roman"/>
          <w:sz w:val="28"/>
          <w:szCs w:val="28"/>
        </w:rPr>
        <w:t>, які</w:t>
      </w:r>
      <w:r w:rsidR="00922537" w:rsidRPr="00D577BD">
        <w:rPr>
          <w:rFonts w:ascii="Times New Roman" w:hAnsi="Times New Roman"/>
          <w:sz w:val="28"/>
          <w:szCs w:val="28"/>
        </w:rPr>
        <w:t xml:space="preserve"> породжу</w:t>
      </w:r>
      <w:r w:rsidR="00ED303F" w:rsidRPr="00D577BD">
        <w:rPr>
          <w:rFonts w:ascii="Times New Roman" w:hAnsi="Times New Roman"/>
          <w:sz w:val="28"/>
          <w:szCs w:val="28"/>
        </w:rPr>
        <w:t>ють різні</w:t>
      </w:r>
      <w:r w:rsidR="00922537" w:rsidRPr="00D577BD">
        <w:rPr>
          <w:rFonts w:ascii="Times New Roman" w:hAnsi="Times New Roman"/>
          <w:sz w:val="28"/>
          <w:szCs w:val="28"/>
        </w:rPr>
        <w:t xml:space="preserve"> ризик</w:t>
      </w:r>
      <w:r w:rsidR="00ED303F" w:rsidRPr="00D577BD">
        <w:rPr>
          <w:rFonts w:ascii="Times New Roman" w:hAnsi="Times New Roman"/>
          <w:sz w:val="28"/>
          <w:szCs w:val="28"/>
        </w:rPr>
        <w:t>и</w:t>
      </w:r>
      <w:r w:rsidR="00922537" w:rsidRPr="00D577BD">
        <w:rPr>
          <w:rFonts w:ascii="Times New Roman" w:hAnsi="Times New Roman"/>
          <w:sz w:val="28"/>
          <w:szCs w:val="28"/>
        </w:rPr>
        <w:t xml:space="preserve"> як, наприклад, можливість вести бізнес фактично без податків. Також</w:t>
      </w:r>
      <w:r w:rsidR="00593E8A" w:rsidRPr="00D577BD">
        <w:rPr>
          <w:rFonts w:ascii="Times New Roman" w:hAnsi="Times New Roman"/>
          <w:sz w:val="28"/>
          <w:szCs w:val="28"/>
        </w:rPr>
        <w:t>, лише фізичні і юридичні особи</w:t>
      </w:r>
      <w:r w:rsidR="00922537" w:rsidRPr="00D577BD">
        <w:rPr>
          <w:rFonts w:ascii="Times New Roman" w:hAnsi="Times New Roman"/>
          <w:sz w:val="28"/>
          <w:szCs w:val="28"/>
        </w:rPr>
        <w:t>,</w:t>
      </w:r>
      <w:r w:rsidR="00593E8A" w:rsidRPr="00D577BD">
        <w:rPr>
          <w:rFonts w:ascii="Times New Roman" w:hAnsi="Times New Roman"/>
          <w:sz w:val="28"/>
          <w:szCs w:val="28"/>
        </w:rPr>
        <w:t xml:space="preserve"> </w:t>
      </w:r>
      <w:r w:rsidR="00922537" w:rsidRPr="00D577BD">
        <w:rPr>
          <w:rFonts w:ascii="Times New Roman" w:hAnsi="Times New Roman"/>
          <w:sz w:val="28"/>
          <w:szCs w:val="28"/>
        </w:rPr>
        <w:t>а не платники єдиного податку, можуть наразі використовувати електронні гроші на загальній системі оподаткування</w:t>
      </w:r>
      <w:r w:rsidR="00D577BD" w:rsidRPr="00D577BD">
        <w:rPr>
          <w:rFonts w:ascii="Times New Roman" w:hAnsi="Times New Roman"/>
          <w:sz w:val="28"/>
          <w:szCs w:val="28"/>
        </w:rPr>
        <w:t>[2]</w:t>
      </w:r>
      <w:r w:rsidR="00922537" w:rsidRPr="00D577BD">
        <w:rPr>
          <w:rFonts w:ascii="Times New Roman" w:hAnsi="Times New Roman"/>
          <w:sz w:val="28"/>
          <w:szCs w:val="28"/>
        </w:rPr>
        <w:t xml:space="preserve">. </w:t>
      </w:r>
    </w:p>
    <w:p w:rsidR="00D577BD" w:rsidRPr="00D577BD" w:rsidRDefault="00922537" w:rsidP="00D577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7BD">
        <w:rPr>
          <w:rFonts w:ascii="Times New Roman" w:hAnsi="Times New Roman"/>
          <w:sz w:val="28"/>
          <w:szCs w:val="28"/>
        </w:rPr>
        <w:t>Наразі Національний банк зареєстрував 21 оператора, які мають право випускати електронні гроші,</w:t>
      </w:r>
      <w:r w:rsidR="00ED303F" w:rsidRPr="00D577BD">
        <w:rPr>
          <w:rFonts w:ascii="Times New Roman" w:hAnsi="Times New Roman"/>
          <w:sz w:val="28"/>
          <w:szCs w:val="28"/>
        </w:rPr>
        <w:t xml:space="preserve"> таких як FORPOST, МАКСІ, ГЛОБАЛ МАНІ, MasterCard, Visa, ЕЛЕКТРУМ, ПРОСТІР тощо. Вводити або виводи гроші можна через банківські та поштові перекази або скретч-картки.</w:t>
      </w:r>
      <w:r w:rsidR="00314D1A" w:rsidRPr="00D577BD">
        <w:rPr>
          <w:rFonts w:ascii="Times New Roman" w:hAnsi="Times New Roman"/>
          <w:sz w:val="28"/>
          <w:szCs w:val="28"/>
        </w:rPr>
        <w:t xml:space="preserve"> Що ж стосується місця операцій з електронними грошима в Плані рахунків, то їм відводиться  субрахунок 335 “Електронні гроші, номіновані в національній валюті”. </w:t>
      </w:r>
      <w:r w:rsidR="00593E8A" w:rsidRPr="00D577BD">
        <w:rPr>
          <w:rFonts w:ascii="Times New Roman" w:hAnsi="Times New Roman"/>
          <w:sz w:val="28"/>
          <w:szCs w:val="28"/>
        </w:rPr>
        <w:t xml:space="preserve">[3] </w:t>
      </w:r>
      <w:r w:rsidR="00314D1A" w:rsidRPr="00D577BD">
        <w:rPr>
          <w:rFonts w:ascii="Times New Roman" w:hAnsi="Times New Roman"/>
          <w:sz w:val="28"/>
          <w:szCs w:val="28"/>
        </w:rPr>
        <w:t xml:space="preserve">На його дебеті зображено суму електронних грошей, отриманих від покупців у кореспонденції з кредитом субрахунку 361 “Розрахунки з </w:t>
      </w:r>
      <w:r w:rsidR="00314D1A" w:rsidRPr="00D577BD">
        <w:rPr>
          <w:rFonts w:ascii="Times New Roman" w:hAnsi="Times New Roman"/>
          <w:sz w:val="28"/>
          <w:szCs w:val="28"/>
        </w:rPr>
        <w:lastRenderedPageBreak/>
        <w:t xml:space="preserve">покупцями”. </w:t>
      </w:r>
      <w:r w:rsidR="00F61BD8" w:rsidRPr="00D577BD">
        <w:rPr>
          <w:rFonts w:ascii="Times New Roman" w:hAnsi="Times New Roman"/>
          <w:sz w:val="28"/>
          <w:szCs w:val="28"/>
        </w:rPr>
        <w:t xml:space="preserve">А оплата товарів підзвітній особі за допомогою електронного гаманця здійснюється так: </w:t>
      </w:r>
    </w:p>
    <w:p w:rsidR="00D577BD" w:rsidRPr="00D577BD" w:rsidRDefault="00F61BD8" w:rsidP="00D577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577BD">
        <w:rPr>
          <w:rFonts w:ascii="Times New Roman" w:hAnsi="Times New Roman"/>
          <w:sz w:val="28"/>
          <w:szCs w:val="28"/>
        </w:rPr>
        <w:t xml:space="preserve">Дебет 372 “Розрахунки із підзвітними особами” </w:t>
      </w:r>
    </w:p>
    <w:p w:rsidR="00D577BD" w:rsidRPr="00D577BD" w:rsidRDefault="00F61BD8" w:rsidP="00D577B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577BD">
        <w:rPr>
          <w:rFonts w:ascii="Times New Roman" w:hAnsi="Times New Roman"/>
          <w:sz w:val="28"/>
          <w:szCs w:val="28"/>
        </w:rPr>
        <w:t xml:space="preserve">Кредит 335 “Електронні гроші, номіновані в національній валюті”. </w:t>
      </w:r>
    </w:p>
    <w:p w:rsidR="008A7F39" w:rsidRPr="00D577BD" w:rsidRDefault="00314D1A" w:rsidP="00D577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7BD">
        <w:rPr>
          <w:rFonts w:ascii="Times New Roman" w:hAnsi="Times New Roman"/>
          <w:sz w:val="28"/>
          <w:szCs w:val="28"/>
        </w:rPr>
        <w:t>Також, при розрахунках за допомогою електронних грошей діють загальні правила податкового обліку згідно з п. 137.1 Податкового Кодексу України. [</w:t>
      </w:r>
      <w:r w:rsidR="00593E8A" w:rsidRPr="00D577BD">
        <w:rPr>
          <w:rFonts w:ascii="Times New Roman" w:hAnsi="Times New Roman"/>
          <w:sz w:val="28"/>
          <w:szCs w:val="28"/>
        </w:rPr>
        <w:t>4</w:t>
      </w:r>
      <w:r w:rsidRPr="00D577BD">
        <w:rPr>
          <w:rFonts w:ascii="Times New Roman" w:hAnsi="Times New Roman"/>
          <w:sz w:val="28"/>
          <w:szCs w:val="28"/>
        </w:rPr>
        <w:t>]</w:t>
      </w:r>
      <w:r w:rsidR="00F61BD8" w:rsidRPr="00D577BD">
        <w:rPr>
          <w:rFonts w:ascii="Times New Roman" w:hAnsi="Times New Roman"/>
          <w:sz w:val="28"/>
          <w:szCs w:val="28"/>
        </w:rPr>
        <w:t xml:space="preserve"> Раніше українці могли робити всі вищезгадані розрахунки через такі великі платформи як: WebMoney, “ЯндексДеньги”, RBK Money, E-Gold, Paypal, Z-Payment та інші. Але деякі з них як, наприклад, WebMoney, наприкінці травня 2018 року були заблоковані через антиросійські санкції РНБО. [</w:t>
      </w:r>
      <w:r w:rsidR="00593E8A" w:rsidRPr="00D577BD">
        <w:rPr>
          <w:rFonts w:ascii="Times New Roman" w:hAnsi="Times New Roman"/>
          <w:sz w:val="28"/>
          <w:szCs w:val="28"/>
        </w:rPr>
        <w:t>5</w:t>
      </w:r>
      <w:r w:rsidR="00F61BD8" w:rsidRPr="00D577BD">
        <w:rPr>
          <w:rFonts w:ascii="Times New Roman" w:hAnsi="Times New Roman"/>
          <w:sz w:val="28"/>
          <w:szCs w:val="28"/>
        </w:rPr>
        <w:t>]</w:t>
      </w:r>
    </w:p>
    <w:p w:rsidR="005754B6" w:rsidRPr="00D577BD" w:rsidRDefault="005754B6" w:rsidP="00D577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577BD">
        <w:rPr>
          <w:rFonts w:ascii="Times New Roman" w:hAnsi="Times New Roman"/>
          <w:sz w:val="28"/>
          <w:szCs w:val="28"/>
        </w:rPr>
        <w:t>Отже можна зробити висновок, що електронні гроші – це фактично еквівалент звичайним грошам, який з’явився внаслідок всіх глобалізаційних процесів, і за своєю сутністю майже не відрізняється від інших платіжних інструментів. На сьогоднішній день вони обертаються поряд із готівкою і також потребують обліку і контролю.</w:t>
      </w:r>
    </w:p>
    <w:p w:rsidR="00D577BD" w:rsidRPr="00D577BD" w:rsidRDefault="00D577BD" w:rsidP="00D577B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B1662" w:rsidRPr="00D67B2A" w:rsidRDefault="00D577BD" w:rsidP="00D67B2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67B2A">
        <w:rPr>
          <w:rFonts w:ascii="Times New Roman" w:hAnsi="Times New Roman"/>
          <w:sz w:val="24"/>
          <w:szCs w:val="24"/>
        </w:rPr>
        <w:t>Список  використаних джерел:</w:t>
      </w:r>
    </w:p>
    <w:p w:rsidR="001B1662" w:rsidRPr="00D67B2A" w:rsidRDefault="001B1662" w:rsidP="00D577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7B2A">
        <w:rPr>
          <w:rFonts w:ascii="Times New Roman" w:hAnsi="Times New Roman"/>
          <w:sz w:val="24"/>
          <w:szCs w:val="24"/>
        </w:rPr>
        <w:t xml:space="preserve">1. Про електронні гроші в Україні: положення НБУ від 04.11.2010 р. №481. [Електронний ресурс]. – Режим доступу: </w:t>
      </w:r>
      <w:r w:rsidR="00314D1A" w:rsidRPr="00D67B2A">
        <w:rPr>
          <w:rFonts w:ascii="Times New Roman" w:hAnsi="Times New Roman"/>
          <w:sz w:val="24"/>
          <w:szCs w:val="24"/>
        </w:rPr>
        <w:t>https://zakon2.rada.gov.ua</w:t>
      </w:r>
    </w:p>
    <w:p w:rsidR="00314D1A" w:rsidRPr="00D67B2A" w:rsidRDefault="00314D1A" w:rsidP="00D577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7B2A">
        <w:rPr>
          <w:rFonts w:ascii="Times New Roman" w:hAnsi="Times New Roman"/>
          <w:sz w:val="24"/>
          <w:szCs w:val="24"/>
        </w:rPr>
        <w:t xml:space="preserve">2. </w:t>
      </w:r>
      <w:r w:rsidR="00F61BD8" w:rsidRPr="00D67B2A">
        <w:rPr>
          <w:rFonts w:ascii="Times New Roman" w:hAnsi="Times New Roman"/>
          <w:sz w:val="24"/>
          <w:szCs w:val="24"/>
        </w:rPr>
        <w:t>Розрахунки за допомогою електронних грошей [Електронний ресурс]. – Режим доступу: https://online.dtkt.ua/Book/«ДК»%20№23-2014.epub/navPoint-10</w:t>
      </w:r>
    </w:p>
    <w:p w:rsidR="00593E8A" w:rsidRPr="00D67B2A" w:rsidRDefault="00593E8A" w:rsidP="00D577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7B2A">
        <w:rPr>
          <w:rFonts w:ascii="Times New Roman" w:hAnsi="Times New Roman"/>
          <w:sz w:val="24"/>
          <w:szCs w:val="24"/>
        </w:rPr>
        <w:t>3. Безмовна монета: чому електронні гроші перебувають у тіні банківських карток. Що заважає розвитку електронних грошей в Україні [Електронний ресурс]. – Режим доступу: https://www.ukrcard.com.ua/pro-kompaniyu/novini-ta-pres-relizi/mi-u-zmi/313-bezmovna-moneta-chomu-elektronni-groshi-perebuvayut-u-tini-bankivskikh-kartok-shcho-zavazhae-rozvitku-elektronnikh-groshej-v-ukrajini</w:t>
      </w:r>
    </w:p>
    <w:p w:rsidR="00593E8A" w:rsidRPr="00D67B2A" w:rsidRDefault="00593E8A" w:rsidP="00D577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7B2A">
        <w:rPr>
          <w:rFonts w:ascii="Times New Roman" w:hAnsi="Times New Roman"/>
          <w:sz w:val="24"/>
          <w:szCs w:val="24"/>
        </w:rPr>
        <w:t>4. Клас 3. Кошти, розрахунки та інші активи [Електронний ресурс]. – Режим доступу: https://i.factor.ua/ukr/law-90/section-536/article-12821/2015-06-18/</w:t>
      </w:r>
    </w:p>
    <w:p w:rsidR="00F61BD8" w:rsidRPr="00D67B2A" w:rsidRDefault="00593E8A" w:rsidP="00D577B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7B2A">
        <w:rPr>
          <w:rFonts w:ascii="Times New Roman" w:hAnsi="Times New Roman"/>
          <w:sz w:val="24"/>
          <w:szCs w:val="24"/>
        </w:rPr>
        <w:t>5</w:t>
      </w:r>
      <w:r w:rsidR="00F61BD8" w:rsidRPr="00D67B2A">
        <w:rPr>
          <w:rFonts w:ascii="Times New Roman" w:hAnsi="Times New Roman"/>
          <w:sz w:val="24"/>
          <w:szCs w:val="24"/>
        </w:rPr>
        <w:t xml:space="preserve">. Без WebMoney. Хто залишився на ринку електронних грошей України [Електронний ресурс]. – Режим доступу: </w:t>
      </w:r>
      <w:r w:rsidR="005754B6" w:rsidRPr="00D67B2A">
        <w:rPr>
          <w:rFonts w:ascii="Times New Roman" w:hAnsi="Times New Roman"/>
          <w:sz w:val="24"/>
          <w:szCs w:val="24"/>
        </w:rPr>
        <w:t>https://www.google.com.ua/amp/s/ampbiz.censor.net.ua/resonance/3073358/bez_webmoney_hto_zalishivsya_na_rinku_elektronnih_grosheyi_ukrani</w:t>
      </w:r>
      <w:r w:rsidR="00D577BD" w:rsidRPr="00D67B2A">
        <w:rPr>
          <w:rFonts w:ascii="Times New Roman" w:hAnsi="Times New Roman"/>
          <w:sz w:val="24"/>
          <w:szCs w:val="24"/>
        </w:rPr>
        <w:t>.</w:t>
      </w:r>
    </w:p>
    <w:p w:rsidR="001B1662" w:rsidRPr="00D67B2A" w:rsidRDefault="001B1662" w:rsidP="00D577B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94011" w:rsidRPr="00D577BD" w:rsidRDefault="00794011" w:rsidP="00D577BD">
      <w:pPr>
        <w:spacing w:after="0" w:line="240" w:lineRule="auto"/>
        <w:rPr>
          <w:sz w:val="28"/>
          <w:szCs w:val="28"/>
        </w:rPr>
      </w:pPr>
    </w:p>
    <w:sectPr w:rsidR="00794011" w:rsidRPr="00D577BD" w:rsidSect="00D577BD">
      <w:pgSz w:w="11906" w:h="16838"/>
      <w:pgMar w:top="1134" w:right="1418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DB"/>
    <w:rsid w:val="000218F4"/>
    <w:rsid w:val="001B1662"/>
    <w:rsid w:val="0029118D"/>
    <w:rsid w:val="00314D1A"/>
    <w:rsid w:val="00490C5D"/>
    <w:rsid w:val="005754B6"/>
    <w:rsid w:val="00593E8A"/>
    <w:rsid w:val="00794011"/>
    <w:rsid w:val="008A7F39"/>
    <w:rsid w:val="008F0903"/>
    <w:rsid w:val="00922537"/>
    <w:rsid w:val="009A1989"/>
    <w:rsid w:val="009D7A1A"/>
    <w:rsid w:val="00C85B58"/>
    <w:rsid w:val="00D029DA"/>
    <w:rsid w:val="00D130DB"/>
    <w:rsid w:val="00D577BD"/>
    <w:rsid w:val="00D67B2A"/>
    <w:rsid w:val="00ED303F"/>
    <w:rsid w:val="00F6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9B669-2C0C-4E36-AFC4-C66E73136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03"/>
    <w:pPr>
      <w:spacing w:after="200" w:line="31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989"/>
    <w:pPr>
      <w:ind w:left="720"/>
      <w:contextualSpacing/>
    </w:pPr>
  </w:style>
  <w:style w:type="character" w:styleId="a4">
    <w:name w:val="Hyperlink"/>
    <w:uiPriority w:val="99"/>
    <w:unhideWhenUsed/>
    <w:rsid w:val="001B166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2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22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3036</Words>
  <Characters>1731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Natasha</cp:lastModifiedBy>
  <cp:revision>2</cp:revision>
  <dcterms:created xsi:type="dcterms:W3CDTF">2019-10-18T16:53:00Z</dcterms:created>
  <dcterms:modified xsi:type="dcterms:W3CDTF">2019-10-18T16:53:00Z</dcterms:modified>
</cp:coreProperties>
</file>