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3E2" w:rsidRDefault="00AE03E2" w:rsidP="00AE03E2">
      <w:pPr>
        <w:widowControl w:val="0"/>
        <w:spacing w:after="0" w:line="223" w:lineRule="auto"/>
        <w:ind w:left="39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AE03E2" w:rsidRDefault="00870111" w:rsidP="008701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</w:pPr>
      <w:r w:rsidRPr="008701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  <w:t>Є</w:t>
      </w:r>
      <w:r w:rsidRPr="008701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  <w:t>ВРОПЕЙСЬКІ СТАНДАРТИ НАЛЕЖНОГО ВРЯДУВАННЯ НА МІСЦЕВОМУ РІВНІ</w:t>
      </w:r>
    </w:p>
    <w:p w:rsidR="001D1827" w:rsidRDefault="005F7085" w:rsidP="005F7085">
      <w:pPr>
        <w:widowControl w:val="0"/>
        <w:spacing w:after="0" w:line="223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F70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О.С.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70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ПРОНЕВИЧ, </w:t>
      </w:r>
      <w:r w:rsidR="001D18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д-р </w:t>
      </w:r>
      <w:proofErr w:type="spellStart"/>
      <w:r w:rsidR="001D18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юрид</w:t>
      </w:r>
      <w:proofErr w:type="spellEnd"/>
      <w:r w:rsidR="001D18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наук,</w:t>
      </w:r>
      <w:r w:rsidR="009936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проф.,</w:t>
      </w:r>
    </w:p>
    <w:p w:rsidR="005F7085" w:rsidRPr="005F7085" w:rsidRDefault="005F7085" w:rsidP="005F7085">
      <w:pPr>
        <w:widowControl w:val="0"/>
        <w:spacing w:after="0" w:line="223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F70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головний науковий співробітник центру вивчення проблем адаптації законодавства України до законодавства ЄС юридичного факультету</w:t>
      </w:r>
    </w:p>
    <w:p w:rsidR="005F7085" w:rsidRPr="0099369C" w:rsidRDefault="005F7085" w:rsidP="005F7085">
      <w:pPr>
        <w:widowControl w:val="0"/>
        <w:spacing w:after="0" w:line="223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 w:rsidRPr="009936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Київськ</w:t>
      </w:r>
      <w:r w:rsidR="009936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ий </w:t>
      </w:r>
      <w:r w:rsidRPr="009936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національного університету</w:t>
      </w:r>
      <w:r w:rsidR="009936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Pr="009936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імені Тараса Шевченка </w:t>
      </w:r>
    </w:p>
    <w:p w:rsidR="005F7085" w:rsidRDefault="005F7085" w:rsidP="005F7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EC62F3">
        <w:rPr>
          <w:rFonts w:ascii="Times New Roman" w:eastAsia="Times New Roman" w:hAnsi="Times New Roman" w:cs="Times New Roman"/>
          <w:sz w:val="28"/>
          <w:szCs w:val="28"/>
          <w:lang w:val="uk-UA"/>
        </w:rPr>
        <w:t>Т.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C62F3">
        <w:rPr>
          <w:rFonts w:ascii="Times New Roman" w:eastAsia="Times New Roman" w:hAnsi="Times New Roman" w:cs="Times New Roman"/>
          <w:sz w:val="28"/>
          <w:szCs w:val="28"/>
          <w:lang w:val="uk-UA"/>
        </w:rPr>
        <w:t>А. КОЛЯДА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канд.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юрид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 наук, доц.,</w:t>
      </w:r>
    </w:p>
    <w:p w:rsidR="005F7085" w:rsidRPr="00EC62F3" w:rsidRDefault="005F7085" w:rsidP="005F7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доц. кафедри правового забезпечення господарської діяльності</w:t>
      </w:r>
      <w:r w:rsidRPr="00EC62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5F7085" w:rsidRPr="00EC62F3" w:rsidRDefault="005F7085" w:rsidP="005F708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EC62F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Харківський національний університет міського господарства імені О. М. Бекетова</w:t>
      </w:r>
    </w:p>
    <w:p w:rsidR="005F7085" w:rsidRPr="00870111" w:rsidRDefault="005F7085" w:rsidP="008701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</w:pPr>
    </w:p>
    <w:p w:rsidR="00AE03E2" w:rsidRDefault="00AE03E2" w:rsidP="00AE03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Полісемантична к</w:t>
      </w:r>
      <w:r w:rsidRPr="00BE15A0">
        <w:rPr>
          <w:rFonts w:ascii="Times New Roman" w:hAnsi="Times New Roman" w:cs="Times New Roman"/>
          <w:sz w:val="28"/>
          <w:szCs w:val="28"/>
          <w:lang w:val="uk-UA"/>
        </w:rPr>
        <w:t xml:space="preserve">атегорія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«врядування» використовується у вітчизняному дискурсі переважно в контексті пошуку шляхів імплементації людиноцентристських засад європейської парадигми належного врядування. </w:t>
      </w:r>
      <w:r w:rsidRPr="00BE15A0">
        <w:rPr>
          <w:rFonts w:ascii="Times New Roman" w:hAnsi="Times New Roman" w:cs="Times New Roman"/>
          <w:sz w:val="28"/>
          <w:szCs w:val="28"/>
          <w:lang w:val="uk-UA"/>
        </w:rPr>
        <w:t>Принципи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належного врядування є в</w:t>
      </w:r>
      <w:r w:rsidRPr="006E164C">
        <w:rPr>
          <w:rFonts w:ascii="Times New Roman" w:hAnsi="Times New Roman" w:cs="Times New Roman"/>
          <w:sz w:val="28"/>
          <w:szCs w:val="28"/>
          <w:lang w:val="uk-UA"/>
        </w:rPr>
        <w:t xml:space="preserve">ажливою передумовою формування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європейського адміністративного простору як сукупності закріплених нормативно спільних стандартів діяльності публічних адміністрацій, практична реалізація яких забезпечується відповідними процедурами та механізмами відповідальності. Білою книгою європейського врядування до засадничих принципів віднесено: відкритість (обмін інформацією між різними рівнями врядування, забезпечення громадянам доступу до інформації про існуючі проблеми та проведення широкої суспільної дискусії щодо шляхів їх вирішення); участь </w:t>
      </w:r>
      <w:r w:rsidR="006044C4">
        <w:rPr>
          <w:rFonts w:ascii="Times New Roman" w:hAnsi="Times New Roman" w:cs="Times New Roman"/>
          <w:sz w:val="28"/>
          <w:szCs w:val="28"/>
          <w:lang w:val="uk-UA"/>
        </w:rPr>
        <w:t xml:space="preserve">(залучення громадськості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«творення політики», налагодження багаторівневого партнерства з обов’язковим охопленням регіонів і міст); підзвітність (обов’язок кожного «актора» обґрунтовувати ухвалені рішення, пояснювати вжиті заходи і нести відповідальність за свої дії); ефективність (досягнення на основі набутого досвіду прийнятного результату в оптимальні строки з найменшими витратами); узгодженість (гармонізація інтересів усіх суб’єктів при виробленні та прийнятті рішень). Належне врядування як законодавчо врегульовані «правила, процеси і поведінка» ґрунтується на багатовекторному, горизонтальному та вертикальному співробітництві для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досягнення  соціально акцептованих цілей. Останнім часом у провідних європейських демократіях прискіплива увага приділяється запровадженню стандартів належного врядування на місцевому (локальному) рівні, що об’єктивно зумовлено прагненням тісніше інкорпорувати локальні спільноти до процесу прийняття рішень та/або вироблення політики, посилити довіру населення до владних інституцій, а також підвищити якість надаваних адміністративних послуг. Безпосереднім наслідком публічно-управлінських процесів є трансформація відносин на зазначеному рівні від субординаційної дихотомії «керівник – громадянин» до ствердження паритету «постачальник адміністративних послуг – клієнт (платник податків як замовник послуг)».</w:t>
      </w:r>
    </w:p>
    <w:p w:rsidR="00AE03E2" w:rsidRDefault="00AE03E2" w:rsidP="00AE03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Виняткове значення для формування нової філософії публічного управління мала Європейська стратегія інновацій та належного врядування на місцевому рівні, схвалена 15-ою Європейською конференцією міністрів, відповідальних за місцеве та регіональне управління (м. Валенсія, 15-16 жовтня 2007 року). У цьому документі в концентрованому вигляді артикульовано дванадцять засадничих принципів належного врядування на місцевому рівні, а саме: чесні вибори, громадське представництво та партисипація як інструменти рекрутування  громадян до участі у вирішенні місцевих справ; чутливість (проактивне реагування органів місцевої влади на законні очікування та потреби громади); ефективність, результативність і раціональне використання ресурсів територіальної громади; відкритість і прозорість, забезпечення публічного доступу до офіційної інформації; верховенство права; етична поведінка; компетентність і спроможність посадових осіб органів місцевого самоврядування; інноваційний підхід та відкритість до змін; ощадливе і ефективне використання публічних фінансів та інших матеріальних ресурсів; сталий розвиток та орієнтація на довгострокові результати з урахуванням інтересів майбутніх поколінь щодо збереження національної (місцевої) культурної спадщини та навколишнього природного середовища; права людини, культурне різноманіття та соціальне згуртування; підзвітність посадових осіб органів місцевого самоврядування.</w:t>
      </w:r>
    </w:p>
    <w:p w:rsidR="00AE03E2" w:rsidRDefault="00AE03E2" w:rsidP="00AE03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Важливою складовою європейської дискусії щодо демонтажу архаїчної системи публічного управління є пошук підходів до організації належного врядування у мегаполісах. В резолюції Парламентської асамблеї Ради Європи 1964 (2013) «Організація належного врядування в крупних містах» зазначено, що «крупні міста є своєрідними демократичними «лабораторіями», де мають створюватися законодавчі та інституційні умови, що полегшують і стимулюють проведення консультацій з громадянами, їх залучення до участі у суспільному житті на місцевому рівні». Особливо наголошено на важливості організації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транспарентного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процесу консультацій з громадянами з питань розвитку міських територій, запровадженні освітніх програм з питань демократичної громадянськості для дітей і молоді, активнішому використанні комунікаційних технологій та соціальних засобів масової інформації. </w:t>
      </w:r>
    </w:p>
    <w:p w:rsidR="00AE03E2" w:rsidRDefault="00AE03E2" w:rsidP="00AE03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Досвід провідних європейських країн свідчить про важливість суто технологічного аспекту управління публічними справами на рівні територіальних громад. Так, стратегічним напрямом еволюції місцевого самоврядування є смарт-регулювання (розумне врядування). Запроваджувана в окремих містах комплексна система інформаційно-комунікативної підтримки територіальної громади </w:t>
      </w:r>
      <w:hyperlink r:id="rId7" w:history="1">
        <w:r w:rsidRPr="004B6F2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uk-UA"/>
          </w:rPr>
          <w:t>«</w:t>
        </w:r>
        <w:proofErr w:type="spellStart"/>
        <w:r w:rsidRPr="004B6F2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uk-UA"/>
          </w:rPr>
          <w:t>Smart</w:t>
        </w:r>
        <w:proofErr w:type="spellEnd"/>
        <w:r w:rsidRPr="004B6F2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uk-UA"/>
          </w:rPr>
          <w:t xml:space="preserve"> </w:t>
        </w:r>
        <w:proofErr w:type="spellStart"/>
        <w:r w:rsidRPr="004B6F2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uk-UA"/>
          </w:rPr>
          <w:t>City</w:t>
        </w:r>
        <w:proofErr w:type="spellEnd"/>
        <w:r w:rsidRPr="004B6F2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uk-UA"/>
          </w:rPr>
          <w:t>»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Pr="004B6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(«розумне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/комфортне</w:t>
      </w:r>
      <w:r w:rsidRPr="004B6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місто»)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потенційно може стати потужним інструментом підвищення якості надаваних адміністративних послуг, зменшення вартості і споживання муніципальних ресурсів, налагодження державно-приватного партнерства у житлово-комунальній сфері (у першу чергу щодо використання альтернативних джерел енергії, розбудови інтелектуальної транспортної системи, впровадження технології «інтелектуальна споруда»), суттєвого покращання комунікації між органами місцевого самоврядування та населенням. У зазначеному контексті категорія «місто» розширено тлумачиться як власне населені пункти та сукупність об’єктів інфраструктури. Натомість «розумність міста» оцінюється за шістьма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lastRenderedPageBreak/>
        <w:t>базовими критеріями (розумна економіка, розумна мобільність, розумне довкілля, розумні люди, якісне життя, розумне врядування).</w:t>
      </w:r>
    </w:p>
    <w:p w:rsidR="00AE03E2" w:rsidRDefault="00AE03E2" w:rsidP="00AE03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Практична реалізація концепції </w:t>
      </w:r>
      <w:hyperlink r:id="rId8" w:history="1">
        <w:r w:rsidRPr="004B6F2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uk-UA"/>
          </w:rPr>
          <w:t>«</w:t>
        </w:r>
        <w:proofErr w:type="spellStart"/>
        <w:r w:rsidRPr="004B6F2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uk-UA"/>
          </w:rPr>
          <w:t>Smart</w:t>
        </w:r>
        <w:proofErr w:type="spellEnd"/>
        <w:r w:rsidRPr="004B6F2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uk-UA"/>
          </w:rPr>
          <w:t xml:space="preserve"> </w:t>
        </w:r>
        <w:proofErr w:type="spellStart"/>
        <w:r w:rsidRPr="004B6F2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uk-UA"/>
          </w:rPr>
          <w:t>City</w:t>
        </w:r>
        <w:proofErr w:type="spellEnd"/>
        <w:r w:rsidRPr="004B6F2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uk-UA"/>
          </w:rPr>
          <w:t>»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сприяє зростанню інвестицій в людський та соціальний капітал, покращанню територіально-просторової організації на раціональних засадах, створенню безпечних і комфортних умов проживання. Фахівці виокремлюють десять найсуттєвіших ознак «розумного міста», а саме: інтелектуальні системи управління дорожнім рухом («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перехоплюючі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паркінги», системи супутникового моніторингу громадського транспорту); розумний підхід до вуличного освітлення (бездротова система управління міським вуличним освітленням, ощадні світлотехнічні пристрої); залучення мешканців до управління містом (електронний уряд, електронні петиції); «розумний будинок» (використання високотехнологічних пристроїв з метою підвищення рівня безпеки, управління освітленням і кліматом); створення стійкої міської мережі бездротового доступу до глобальної мережі Інтернет; розумний громадський транспорт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геолокація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, моніторинг ситуації в салоні та зовні під час руху з використанням камер внутрішнього та зовнішнього відеоспостереження); сповіщення про надзвичайні ситуації (мережа оповіщення шляхом відправлення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sms</w:t>
      </w:r>
      <w:r w:rsidRPr="008122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повідомлень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на телефони абонентів, які перебувають у зоні надзвичайної ситуації); кнопки екстреного реагування; використання сонячних батарей; безготівкові платежі.</w:t>
      </w:r>
    </w:p>
    <w:p w:rsidR="00AE03E2" w:rsidRDefault="00AE03E2" w:rsidP="00AE03E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Зазначимо, що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система інформаційно-комунікативної підтримки територіальної громади </w:t>
      </w:r>
      <w:hyperlink r:id="rId9" w:history="1">
        <w:r w:rsidRPr="004B6F2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uk-UA"/>
          </w:rPr>
          <w:t>«</w:t>
        </w:r>
        <w:proofErr w:type="spellStart"/>
        <w:r w:rsidRPr="004B6F2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uk-UA"/>
          </w:rPr>
          <w:t>Smart</w:t>
        </w:r>
        <w:proofErr w:type="spellEnd"/>
        <w:r w:rsidRPr="004B6F2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uk-UA"/>
          </w:rPr>
          <w:t xml:space="preserve"> </w:t>
        </w:r>
        <w:proofErr w:type="spellStart"/>
        <w:r w:rsidRPr="004B6F2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uk-UA"/>
          </w:rPr>
          <w:t>City</w:t>
        </w:r>
        <w:proofErr w:type="spellEnd"/>
        <w:r w:rsidRPr="004B6F2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uk-UA"/>
          </w:rPr>
          <w:t>»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зазвичай впроваджується у мегаполісах. Упродовж останнього часу кілька великих українських міст задекларували намір впровадити цю систему, однак найбільшого поступу в концептуалізації проблеми досягла столиця України. Так, відповідно до </w:t>
      </w:r>
      <w:r w:rsidRPr="009F40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розпорядження виконавчого органу Київської міської ради (Київської міської державної адміністрації) від 28.07.2017 № 916 «Про схвалення Концепції «КИЇВ СМАРТ СІТІ 2020»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передбачено, що «концепція «Київ Смарт Сіті» покликана створити можливості для еволюції столиці, поєднуючи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 xml:space="preserve">стратегічний підхід, технологічні досягнення та широке залучення громадськості до творення нової якості життя». Цим документом визначено такі пріоритетні напрями реалізації концепції «Київ Смарт Сіті»: активне використання сучасних інноваційних смарт-технологій; поліпшення використання даних, побудова відкритої сервісно орієнтованої архітектури та зміна моделі управління містом; ефективніша діяльність міської влади в інтересах киян (громадянин як кінцевий споживач послуг); зміна комунікаційної моделі міста на засадах залучення і взаємодії; заміна застарілої функціональної системи управління містом; створення спеціального офісу міського голови для виконання стратегічних завдань щодо трансформації управління згідно з міжнародними стандартами смарт-сіті; запровадження е-урядування містом та сучасної системи надання послуг; залучення різних постачальників на засадах відкритого та прозорого партнерства й відкритих тендерів тощо. Пріоритетними проектами для </w:t>
      </w:r>
      <w:r w:rsidRPr="009F40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Київської міської державної адміністрації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є «Система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On</w:t>
      </w:r>
      <w:r w:rsidRPr="007C58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line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», «Система електронних закупівель», «Управління майном», «Єдиний веб-портал міської влади», «Єдина система обліку» тощо. </w:t>
      </w:r>
    </w:p>
    <w:p w:rsidR="00AE03E2" w:rsidRPr="007F4045" w:rsidRDefault="00AE03E2" w:rsidP="00AE03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Резюмуючи, зазначимо, що територіальна громада належить до ключових суб’єктів владних відносин, а одним з безумовних пріоритетів адміністративної реформи на місцевому (локальному) рівні є імплементація принципів належного врядування. Першочергово йдеться про створення належних умов для участі громадян у вирішенні місцевих справ і забезпеченні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проактивної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діяльності органів публічної адміністрації як постачальників якісних адміністративних послуг.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Перспектива розбудови безпечного та комфортного простору за місцем проживання полягає у запровадженні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комплексної системи інформаційно-комунікативної підтримки територіальної громади </w:t>
      </w:r>
      <w:hyperlink r:id="rId10" w:history="1">
        <w:r w:rsidRPr="004B6F2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uk-UA"/>
          </w:rPr>
          <w:t>«</w:t>
        </w:r>
        <w:proofErr w:type="spellStart"/>
        <w:r w:rsidRPr="004B6F2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uk-UA"/>
          </w:rPr>
          <w:t>Smart</w:t>
        </w:r>
        <w:proofErr w:type="spellEnd"/>
        <w:r w:rsidRPr="004B6F2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uk-UA"/>
          </w:rPr>
          <w:t xml:space="preserve"> </w:t>
        </w:r>
        <w:proofErr w:type="spellStart"/>
        <w:r w:rsidRPr="004B6F2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uk-UA"/>
          </w:rPr>
          <w:t>City</w:t>
        </w:r>
        <w:proofErr w:type="spellEnd"/>
        <w:r w:rsidRPr="004B6F2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uk-UA"/>
          </w:rPr>
          <w:t>»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. Створення в Україні окремих прецедентів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смарт-регулювання дає підстави сподіватися на ствердження цивілізованої моделі вирішення основоположних проблем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забезпечення нормальної життєдіяльності територіальних громад і підвищення якості життя кожної окремої людини.  </w:t>
      </w:r>
    </w:p>
    <w:p w:rsidR="00AE03E2" w:rsidRPr="00B4239F" w:rsidRDefault="00AE03E2" w:rsidP="00AE03E2">
      <w:pPr>
        <w:spacing w:after="0" w:line="360" w:lineRule="auto"/>
        <w:ind w:firstLine="708"/>
        <w:jc w:val="both"/>
        <w:rPr>
          <w:lang w:val="uk-UA"/>
        </w:rPr>
      </w:pPr>
    </w:p>
    <w:p w:rsidR="00AE03E2" w:rsidRPr="00DC325B" w:rsidRDefault="00AE03E2" w:rsidP="00AE03E2">
      <w:pPr>
        <w:tabs>
          <w:tab w:val="left" w:pos="1276"/>
        </w:tabs>
        <w:spacing w:after="0" w:line="223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E03E2" w:rsidRPr="00395B81" w:rsidRDefault="00AE03E2" w:rsidP="00AE03E2">
      <w:pPr>
        <w:jc w:val="center"/>
        <w:rPr>
          <w:lang w:val="uk-UA"/>
        </w:rPr>
      </w:pPr>
    </w:p>
    <w:p w:rsidR="007842C6" w:rsidRPr="006044C4" w:rsidRDefault="007842C6">
      <w:pPr>
        <w:rPr>
          <w:lang w:val="uk-UA"/>
        </w:rPr>
      </w:pPr>
    </w:p>
    <w:sectPr w:rsidR="007842C6" w:rsidRPr="006044C4" w:rsidSect="00836573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267B7">
      <w:pPr>
        <w:spacing w:after="0" w:line="240" w:lineRule="auto"/>
      </w:pPr>
      <w:r>
        <w:separator/>
      </w:r>
    </w:p>
  </w:endnote>
  <w:endnote w:type="continuationSeparator" w:id="0">
    <w:p w:rsidR="00000000" w:rsidRDefault="0072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267B7">
      <w:pPr>
        <w:spacing w:after="0" w:line="240" w:lineRule="auto"/>
      </w:pPr>
      <w:r>
        <w:separator/>
      </w:r>
    </w:p>
  </w:footnote>
  <w:footnote w:type="continuationSeparator" w:id="0">
    <w:p w:rsidR="00000000" w:rsidRDefault="00726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C4F" w:rsidRDefault="007267B7">
    <w:pPr>
      <w:pStyle w:val="a3"/>
      <w:jc w:val="right"/>
    </w:pPr>
  </w:p>
  <w:p w:rsidR="00075C4F" w:rsidRDefault="007267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CDD"/>
    <w:rsid w:val="00140CDD"/>
    <w:rsid w:val="001D1827"/>
    <w:rsid w:val="005F7085"/>
    <w:rsid w:val="006044C4"/>
    <w:rsid w:val="007267B7"/>
    <w:rsid w:val="007842C6"/>
    <w:rsid w:val="00870111"/>
    <w:rsid w:val="0099369C"/>
    <w:rsid w:val="00AE03E2"/>
    <w:rsid w:val="00E011CC"/>
    <w:rsid w:val="00E1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E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03E2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E10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088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E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03E2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E10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088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Smart_cit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Smart_city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en.wikipedia.org/wiki/Smart_c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Smart_ci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</cp:revision>
  <dcterms:created xsi:type="dcterms:W3CDTF">2018-02-14T11:28:00Z</dcterms:created>
  <dcterms:modified xsi:type="dcterms:W3CDTF">2018-02-14T11:34:00Z</dcterms:modified>
</cp:coreProperties>
</file>