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A" w:rsidRDefault="001A51EB" w:rsidP="00FC244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0A9A">
        <w:rPr>
          <w:rFonts w:ascii="Times New Roman" w:hAnsi="Times New Roman" w:cs="Times New Roman"/>
          <w:b/>
          <w:sz w:val="28"/>
          <w:szCs w:val="28"/>
        </w:rPr>
        <w:t xml:space="preserve">СТАНДАРТИ </w:t>
      </w:r>
      <w:r w:rsidR="00BB0084" w:rsidRPr="00C60A9A">
        <w:rPr>
          <w:rFonts w:ascii="Times New Roman" w:hAnsi="Times New Roman" w:cs="Times New Roman"/>
          <w:b/>
          <w:sz w:val="28"/>
          <w:szCs w:val="28"/>
        </w:rPr>
        <w:t>ФІДІК</w:t>
      </w:r>
      <w:r w:rsidRPr="00C60A9A">
        <w:rPr>
          <w:rFonts w:ascii="Times New Roman" w:hAnsi="Times New Roman" w:cs="Times New Roman"/>
          <w:b/>
          <w:sz w:val="28"/>
          <w:szCs w:val="28"/>
        </w:rPr>
        <w:t xml:space="preserve"> ЯК ІННОВАЦІЙНА СКЛАДОВА ВІДНОСИН У БУДІВНИЦТВІ</w:t>
      </w:r>
      <w:bookmarkStart w:id="0" w:name="_GoBack"/>
      <w:bookmarkEnd w:id="0"/>
    </w:p>
    <w:p w:rsidR="00B94C20" w:rsidRPr="00B94C20" w:rsidRDefault="00B94C20" w:rsidP="00B94C2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О.</w:t>
      </w:r>
      <w:r w:rsidRPr="00B94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C2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94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C20" w:rsidRPr="00B94C20" w:rsidRDefault="00B94C20" w:rsidP="00B94C2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C20">
        <w:rPr>
          <w:rFonts w:ascii="Times New Roman" w:hAnsi="Times New Roman" w:cs="Times New Roman"/>
          <w:i/>
          <w:sz w:val="28"/>
          <w:szCs w:val="28"/>
        </w:rPr>
        <w:t>Харківський національний університет міського господарства</w:t>
      </w:r>
    </w:p>
    <w:p w:rsidR="00026322" w:rsidRPr="00B94C20" w:rsidRDefault="00B94C20" w:rsidP="00B94C2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C20">
        <w:rPr>
          <w:rFonts w:ascii="Times New Roman" w:hAnsi="Times New Roman" w:cs="Times New Roman"/>
          <w:i/>
          <w:sz w:val="28"/>
          <w:szCs w:val="28"/>
        </w:rPr>
        <w:t>ім. 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C20">
        <w:rPr>
          <w:rFonts w:ascii="Times New Roman" w:hAnsi="Times New Roman" w:cs="Times New Roman"/>
          <w:i/>
          <w:sz w:val="28"/>
          <w:szCs w:val="28"/>
        </w:rPr>
        <w:t>М. Бекетова, м. Харків</w:t>
      </w:r>
    </w:p>
    <w:p w:rsidR="00B94C20" w:rsidRPr="00C60A9A" w:rsidRDefault="00B94C20" w:rsidP="00B94C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Сьогодні, Україна стоїть на новому етапі економічного розвитку. Безумовно цьому посприяло прагнення держави вступити до Європейського союзу. Вступ до ЄС в майбутньому надасть нашій країні права на рівні з іншими країнами-учасниками. Та крім цього ми набули обов’язки, які потрібно виконати, для того щоб досягнути бажаної мети.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Дані обов’язки призвели до нововведення, що принесли змін як у законодавстві, так і у різних сферах життя. Ці модифікації не оминули й сферу будівництва. Україна завжди була привабливою для іноземних інвесторів, але довгий час їхні інвестиції були незахищені й не давали ніякого результату. В останні пару років система інвестування стала прозорішою, більш захищеною, як результат привабливою для українських та іноземних підприємців, що і спонукало розвиток будівництва. Не останню роль в цьому зіграли стандарти ФІДІК.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 xml:space="preserve">FIDIC, або ФІДІК (абревіатура від французького </w:t>
      </w:r>
      <w:proofErr w:type="spellStart"/>
      <w:r w:rsidRPr="00C87896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C8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96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  <w:r w:rsidRPr="00C8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9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87896">
        <w:rPr>
          <w:rFonts w:ascii="Times New Roman" w:hAnsi="Times New Roman" w:cs="Times New Roman"/>
          <w:sz w:val="28"/>
          <w:szCs w:val="28"/>
        </w:rPr>
        <w:t xml:space="preserve"> Ingenieurs-Conseil), Міжнародна Федерації Інженерів-Консультантів. Це досить нове явище для України. Заснована федерація була у 1913 році, у Бельгії, трьома національними асоціаціями інженерів-консультантів європейських країн, під час проведення міжнародної промислової виставки, де і відбувся перший конгрес інженерів-консультантів.</w:t>
      </w:r>
    </w:p>
    <w:p w:rsidR="00C87896" w:rsidRPr="00C87896" w:rsidRDefault="00E948D2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мета FIDIC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7896" w:rsidRPr="00C87896">
        <w:rPr>
          <w:rFonts w:ascii="Times New Roman" w:hAnsi="Times New Roman" w:cs="Times New Roman"/>
          <w:sz w:val="28"/>
          <w:szCs w:val="28"/>
        </w:rPr>
        <w:t xml:space="preserve"> регулювання взаємовідносин учасників міжнародних інвестиційно-будівельних процесів на основі розробки та публікації типових форм контрактів між замовником та підрядником, замовником та інженером.</w:t>
      </w:r>
    </w:p>
    <w:p w:rsidR="005A7D92" w:rsidRPr="005A7D92" w:rsidRDefault="00C87896" w:rsidP="005A7D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lastRenderedPageBreak/>
        <w:t>Існує кілька видів контрактів (книг) ФІДІК, кожен з яких відрізняється певною кольоровим маркуванням для простоти розпізнавання і роботи з ними. Вибір тієї чи іншої книги  контракту FIDIC  залежить від специфіки виконання будівельних робіт та специфіки правовідносин між сторонами проекту</w:t>
      </w:r>
      <w:r w:rsidR="005A7D92" w:rsidRPr="005A7D92">
        <w:rPr>
          <w:rFonts w:ascii="Times New Roman" w:hAnsi="Times New Roman" w:cs="Times New Roman"/>
          <w:sz w:val="28"/>
          <w:szCs w:val="28"/>
        </w:rPr>
        <w:t>:</w:t>
      </w:r>
    </w:p>
    <w:p w:rsidR="005A7D92" w:rsidRPr="005A7D92" w:rsidRDefault="005A7D92" w:rsidP="005A7D92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7D92">
        <w:rPr>
          <w:rFonts w:ascii="Times New Roman" w:hAnsi="Times New Roman" w:cs="Times New Roman"/>
          <w:sz w:val="28"/>
          <w:szCs w:val="28"/>
        </w:rPr>
        <w:t xml:space="preserve">прямий, швидкий або дешевий проект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7D92">
        <w:rPr>
          <w:rFonts w:ascii="Times New Roman" w:hAnsi="Times New Roman" w:cs="Times New Roman"/>
          <w:sz w:val="28"/>
          <w:szCs w:val="28"/>
        </w:rPr>
        <w:t xml:space="preserve"> "Зелена книга"</w:t>
      </w:r>
    </w:p>
    <w:p w:rsidR="005A7D92" w:rsidRPr="005A7D92" w:rsidRDefault="005A7D92" w:rsidP="005A7D92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7D92">
        <w:rPr>
          <w:rFonts w:ascii="Times New Roman" w:hAnsi="Times New Roman" w:cs="Times New Roman"/>
          <w:sz w:val="28"/>
          <w:szCs w:val="28"/>
        </w:rPr>
        <w:t xml:space="preserve">дизайн роботодавців (традиційний проект)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7D92">
        <w:rPr>
          <w:rFonts w:ascii="Times New Roman" w:hAnsi="Times New Roman" w:cs="Times New Roman"/>
          <w:sz w:val="28"/>
          <w:szCs w:val="28"/>
        </w:rPr>
        <w:t xml:space="preserve"> "Червона книга"</w:t>
      </w:r>
    </w:p>
    <w:p w:rsidR="005A7D92" w:rsidRPr="005A7D92" w:rsidRDefault="005A7D92" w:rsidP="005A7D92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7D92">
        <w:rPr>
          <w:rFonts w:ascii="Times New Roman" w:hAnsi="Times New Roman" w:cs="Times New Roman"/>
          <w:sz w:val="28"/>
          <w:szCs w:val="28"/>
        </w:rPr>
        <w:t xml:space="preserve">дизайн роботодавця (Банки Багатостороннього розвитку, що надають фінансування)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7D9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Рожева книга</w:t>
      </w:r>
      <w:r w:rsidRPr="005A7D92">
        <w:rPr>
          <w:rFonts w:ascii="Times New Roman" w:hAnsi="Times New Roman" w:cs="Times New Roman"/>
          <w:sz w:val="28"/>
          <w:szCs w:val="28"/>
        </w:rPr>
        <w:t>"</w:t>
      </w:r>
    </w:p>
    <w:p w:rsidR="005A7D92" w:rsidRPr="005A7D92" w:rsidRDefault="005A7D92" w:rsidP="005A7D92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7D92">
        <w:rPr>
          <w:rFonts w:ascii="Times New Roman" w:hAnsi="Times New Roman" w:cs="Times New Roman"/>
          <w:sz w:val="28"/>
          <w:szCs w:val="28"/>
        </w:rPr>
        <w:t>дизайн п</w:t>
      </w:r>
      <w:r>
        <w:rPr>
          <w:rFonts w:ascii="Times New Roman" w:hAnsi="Times New Roman" w:cs="Times New Roman"/>
          <w:sz w:val="28"/>
          <w:szCs w:val="28"/>
        </w:rPr>
        <w:t>ідрядника (традиційний проект) –</w:t>
      </w:r>
      <w:r w:rsidRPr="005A7D9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Жовта книга</w:t>
      </w:r>
      <w:r w:rsidRPr="005A7D92">
        <w:rPr>
          <w:rFonts w:ascii="Times New Roman" w:hAnsi="Times New Roman" w:cs="Times New Roman"/>
          <w:sz w:val="28"/>
          <w:szCs w:val="28"/>
        </w:rPr>
        <w:t>"</w:t>
      </w:r>
    </w:p>
    <w:p w:rsidR="005A7D92" w:rsidRPr="005A7D92" w:rsidRDefault="005A7D92" w:rsidP="005A7D92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7D92">
        <w:rPr>
          <w:rFonts w:ascii="Times New Roman" w:hAnsi="Times New Roman" w:cs="Times New Roman"/>
          <w:sz w:val="28"/>
          <w:szCs w:val="28"/>
        </w:rPr>
        <w:t xml:space="preserve">Проект EPC / під ключ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7D92">
        <w:rPr>
          <w:rFonts w:ascii="Times New Roman" w:hAnsi="Times New Roman" w:cs="Times New Roman"/>
          <w:sz w:val="28"/>
          <w:szCs w:val="28"/>
        </w:rPr>
        <w:t xml:space="preserve"> "Срібна книга"</w:t>
      </w:r>
    </w:p>
    <w:p w:rsidR="005A7D92" w:rsidRPr="005A7D92" w:rsidRDefault="005A7D92" w:rsidP="005A7D92">
      <w:pPr>
        <w:pStyle w:val="a3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A7D92">
        <w:rPr>
          <w:rFonts w:ascii="Times New Roman" w:hAnsi="Times New Roman" w:cs="Times New Roman"/>
          <w:sz w:val="28"/>
          <w:szCs w:val="28"/>
        </w:rPr>
        <w:t xml:space="preserve">проектування, будівництво, експлуатація проекту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7D92">
        <w:rPr>
          <w:rFonts w:ascii="Times New Roman" w:hAnsi="Times New Roman" w:cs="Times New Roman"/>
          <w:sz w:val="28"/>
          <w:szCs w:val="28"/>
        </w:rPr>
        <w:t xml:space="preserve"> "Золота книга"</w:t>
      </w:r>
    </w:p>
    <w:p w:rsidR="00832519" w:rsidRPr="00832519" w:rsidRDefault="00832519" w:rsidP="00832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519">
        <w:rPr>
          <w:rFonts w:ascii="Times New Roman" w:hAnsi="Times New Roman" w:cs="Times New Roman"/>
          <w:sz w:val="28"/>
          <w:szCs w:val="28"/>
        </w:rPr>
        <w:t>Всі книги FIDIC визначають роль інженера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519">
        <w:rPr>
          <w:rFonts w:ascii="Times New Roman" w:hAnsi="Times New Roman" w:cs="Times New Roman"/>
          <w:sz w:val="28"/>
          <w:szCs w:val="28"/>
        </w:rPr>
        <w:t xml:space="preserve"> по суті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519">
        <w:rPr>
          <w:rFonts w:ascii="Times New Roman" w:hAnsi="Times New Roman" w:cs="Times New Roman"/>
          <w:sz w:val="28"/>
          <w:szCs w:val="28"/>
        </w:rPr>
        <w:t xml:space="preserve"> як агента роботодавця. Перш за все, інженер відповідає за управління контрактами. Інженер:</w:t>
      </w:r>
    </w:p>
    <w:p w:rsidR="00832519" w:rsidRPr="00832519" w:rsidRDefault="00832519" w:rsidP="00832519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32519">
        <w:rPr>
          <w:rFonts w:ascii="Times New Roman" w:hAnsi="Times New Roman" w:cs="Times New Roman"/>
          <w:sz w:val="28"/>
          <w:szCs w:val="28"/>
        </w:rPr>
        <w:t>видає інструкції та повідомлення;</w:t>
      </w:r>
    </w:p>
    <w:p w:rsidR="00832519" w:rsidRPr="00832519" w:rsidRDefault="00832519" w:rsidP="00832519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32519">
        <w:rPr>
          <w:rFonts w:ascii="Times New Roman" w:hAnsi="Times New Roman" w:cs="Times New Roman"/>
          <w:sz w:val="28"/>
          <w:szCs w:val="28"/>
        </w:rPr>
        <w:t>стежить за роботами;</w:t>
      </w:r>
    </w:p>
    <w:p w:rsidR="00832519" w:rsidRPr="00832519" w:rsidRDefault="00832519" w:rsidP="00832519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32519">
        <w:rPr>
          <w:rFonts w:ascii="Times New Roman" w:hAnsi="Times New Roman" w:cs="Times New Roman"/>
          <w:sz w:val="28"/>
          <w:szCs w:val="28"/>
        </w:rPr>
        <w:t xml:space="preserve">виступає </w:t>
      </w:r>
      <w:proofErr w:type="spellStart"/>
      <w:r w:rsidRPr="00832519">
        <w:rPr>
          <w:rFonts w:ascii="Times New Roman" w:hAnsi="Times New Roman" w:cs="Times New Roman"/>
          <w:sz w:val="28"/>
          <w:szCs w:val="28"/>
        </w:rPr>
        <w:t>сертифікатором</w:t>
      </w:r>
      <w:proofErr w:type="spellEnd"/>
      <w:r w:rsidRPr="00832519">
        <w:rPr>
          <w:rFonts w:ascii="Times New Roman" w:hAnsi="Times New Roman" w:cs="Times New Roman"/>
          <w:sz w:val="28"/>
          <w:szCs w:val="28"/>
        </w:rPr>
        <w:t>.</w:t>
      </w:r>
    </w:p>
    <w:p w:rsidR="00C87896" w:rsidRPr="00C87896" w:rsidRDefault="00C87896" w:rsidP="00832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Також на вибір форми контракту впливають і інші фактори: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сума договору/складність;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відповідальність за проектування;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необхідність внесення змін;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розподіл ризику;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вид діяльності;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оплата;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керівництво;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залучення інженера.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 xml:space="preserve">У типових контрактах ФІДІК передбачено врахування особливостей національного законодавства і специфіки кожного об'єкта будівництва. Для </w:t>
      </w:r>
      <w:r w:rsidRPr="00C87896">
        <w:rPr>
          <w:rFonts w:ascii="Times New Roman" w:hAnsi="Times New Roman" w:cs="Times New Roman"/>
          <w:sz w:val="28"/>
          <w:szCs w:val="28"/>
        </w:rPr>
        <w:lastRenderedPageBreak/>
        <w:t>цього в контракті присутні дві частини: загальні умови контракту та умови для особливого застосування. Останні прописуються сторонами в залежності від особливостей конкретного будівельного проекту.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Контракт FIDIC охоплюють: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договір підряду (загальні, особливі умови);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вимоги замовника;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заявку на тендер (пропозиція підрядника);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лист-акцепт;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специфікації;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креслення;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- додатки.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Перевага вибору контракту FIDIC  це їх універсальність і закінчений вигляд. Крім цього, контракти ФІДІК відрізняються ясністю й узгодженістю, точністю всіх пунктів, чіткістю формулювань і сумісністю структури будь-якого договору з іншими стандартними документами FIDIC.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Важливо також є те, що контракти FIDIC збалансовані та чесні щодо сторін  відповідальність за ризик лягає на ту сторону, в компетенцію якої входить здатність контролювати ризик, нести відповідальність і приймати відповідні рішення.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 xml:space="preserve">В Україні застосування контрактів FIDIC </w:t>
      </w:r>
      <w:r w:rsidR="005A7D92">
        <w:rPr>
          <w:rFonts w:ascii="Times New Roman" w:hAnsi="Times New Roman" w:cs="Times New Roman"/>
          <w:sz w:val="28"/>
          <w:szCs w:val="28"/>
        </w:rPr>
        <w:t xml:space="preserve">стає з кожним днем </w:t>
      </w:r>
      <w:r w:rsidR="005A7D92" w:rsidRPr="00C87896">
        <w:rPr>
          <w:rFonts w:ascii="Times New Roman" w:hAnsi="Times New Roman" w:cs="Times New Roman"/>
          <w:sz w:val="28"/>
          <w:szCs w:val="28"/>
        </w:rPr>
        <w:t>популярн</w:t>
      </w:r>
      <w:r w:rsidR="005A7D92">
        <w:rPr>
          <w:rFonts w:ascii="Times New Roman" w:hAnsi="Times New Roman" w:cs="Times New Roman"/>
          <w:sz w:val="28"/>
          <w:szCs w:val="28"/>
        </w:rPr>
        <w:t>ішим</w:t>
      </w:r>
      <w:r w:rsidRPr="00C87896">
        <w:rPr>
          <w:rFonts w:ascii="Times New Roman" w:hAnsi="Times New Roman" w:cs="Times New Roman"/>
          <w:sz w:val="28"/>
          <w:szCs w:val="28"/>
        </w:rPr>
        <w:t xml:space="preserve">. </w:t>
      </w:r>
      <w:r w:rsidR="00832519">
        <w:rPr>
          <w:rFonts w:ascii="Times New Roman" w:hAnsi="Times New Roman" w:cs="Times New Roman"/>
          <w:sz w:val="28"/>
          <w:szCs w:val="28"/>
        </w:rPr>
        <w:t>Щоправда,</w:t>
      </w:r>
      <w:r w:rsidRPr="00C87896">
        <w:rPr>
          <w:rFonts w:ascii="Times New Roman" w:hAnsi="Times New Roman" w:cs="Times New Roman"/>
          <w:sz w:val="28"/>
          <w:szCs w:val="28"/>
        </w:rPr>
        <w:t xml:space="preserve"> специфіка вітчизняного законодавства, а також </w:t>
      </w:r>
      <w:r w:rsidR="00832519">
        <w:rPr>
          <w:rFonts w:ascii="Times New Roman" w:hAnsi="Times New Roman" w:cs="Times New Roman"/>
          <w:sz w:val="28"/>
          <w:szCs w:val="28"/>
        </w:rPr>
        <w:t xml:space="preserve">відсутність </w:t>
      </w:r>
      <w:r w:rsidRPr="00C87896">
        <w:rPr>
          <w:rFonts w:ascii="Times New Roman" w:hAnsi="Times New Roman" w:cs="Times New Roman"/>
          <w:sz w:val="28"/>
          <w:szCs w:val="28"/>
        </w:rPr>
        <w:t>прагнення українського підрядника працювати за встановленою схемою, тобто за тим самим розробленим договорами підряду на будівництво</w:t>
      </w:r>
      <w:r w:rsidR="00832519">
        <w:rPr>
          <w:rFonts w:ascii="Times New Roman" w:hAnsi="Times New Roman" w:cs="Times New Roman"/>
          <w:sz w:val="28"/>
          <w:szCs w:val="28"/>
        </w:rPr>
        <w:t xml:space="preserve"> цьому дещо заважає.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Чим корисні типові контракти ФІДІК для України? На думку представників виконавчої влади, застосування згаданих форм в Україні дозволить зменшити рівень корупції шляхом спрощення управління фінансами будівництва, і підвищать інвестиційну привабливість країни.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lastRenderedPageBreak/>
        <w:t>Серйозною проблемою для нашої країни є нестача кваліфікованих кадрів, які б здійснювали чітке виконання умов контрактів - цим у всьому світі займаються інженери-консультанти.</w:t>
      </w:r>
    </w:p>
    <w:p w:rsidR="00C87896" w:rsidRPr="00C87896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 xml:space="preserve">19 лютого поточного року відбувся «круглий стіл» на тему «Реалізація будівельних проектів в Україні: Міжнародні стандарти FIDIC та застосування їх в Україні», де виконавчий директор FIDIC </w:t>
      </w:r>
      <w:proofErr w:type="spellStart"/>
      <w:r w:rsidRPr="00C87896">
        <w:rPr>
          <w:rFonts w:ascii="Times New Roman" w:hAnsi="Times New Roman" w:cs="Times New Roman"/>
          <w:sz w:val="28"/>
          <w:szCs w:val="28"/>
        </w:rPr>
        <w:t>Енріко</w:t>
      </w:r>
      <w:proofErr w:type="spellEnd"/>
      <w:r w:rsidRPr="00C87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896">
        <w:rPr>
          <w:rFonts w:ascii="Times New Roman" w:hAnsi="Times New Roman" w:cs="Times New Roman"/>
          <w:sz w:val="28"/>
          <w:szCs w:val="28"/>
        </w:rPr>
        <w:t>Вінк</w:t>
      </w:r>
      <w:proofErr w:type="spellEnd"/>
      <w:r w:rsidRPr="00C87896">
        <w:rPr>
          <w:rFonts w:ascii="Times New Roman" w:hAnsi="Times New Roman" w:cs="Times New Roman"/>
          <w:sz w:val="28"/>
          <w:szCs w:val="28"/>
        </w:rPr>
        <w:t xml:space="preserve"> зазначив, що одне з основних завдань інженера-консультанта, зниження вартості проекту. Чим нижче підсумкова вартість робіт, тим більший бонус за це отримає інженер-проектувальник. Взагалі ж, крім </w:t>
      </w:r>
      <w:proofErr w:type="spellStart"/>
      <w:r w:rsidRPr="00C87896">
        <w:rPr>
          <w:rFonts w:ascii="Times New Roman" w:hAnsi="Times New Roman" w:cs="Times New Roman"/>
          <w:sz w:val="28"/>
          <w:szCs w:val="28"/>
        </w:rPr>
        <w:t>бонуса</w:t>
      </w:r>
      <w:proofErr w:type="spellEnd"/>
      <w:r w:rsidRPr="00C87896">
        <w:rPr>
          <w:rFonts w:ascii="Times New Roman" w:hAnsi="Times New Roman" w:cs="Times New Roman"/>
          <w:sz w:val="28"/>
          <w:szCs w:val="28"/>
        </w:rPr>
        <w:t>, як правило, такий фахівець отримує не менше 3% від кінцевої вартості проекту.</w:t>
      </w:r>
    </w:p>
    <w:p w:rsidR="001B4319" w:rsidRPr="00C60A9A" w:rsidRDefault="00C87896" w:rsidP="00C878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896">
        <w:rPr>
          <w:rFonts w:ascii="Times New Roman" w:hAnsi="Times New Roman" w:cs="Times New Roman"/>
          <w:sz w:val="28"/>
          <w:szCs w:val="28"/>
        </w:rPr>
        <w:t>Специфіка українського будівельного законодавства, безумовно, вимагає внесення з часом значних змін в контракти FIDIC для їх адаптації та можливості використання в Україні. Звичайно, це вимагає кваліфікованої юридичної допомоги як для замовника, так і для підрядника. Однак контракти FIDIC можуть бути хорошим стартом, відправною точкою для їх використання в Україні, оскільки вони покликані максимально чітко та уніфіковано врегулювати відносини сторін при будівництві об'єктів.</w:t>
      </w:r>
    </w:p>
    <w:sectPr w:rsidR="001B4319" w:rsidRPr="00C60A9A" w:rsidSect="001A51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42E"/>
    <w:multiLevelType w:val="hybridMultilevel"/>
    <w:tmpl w:val="4C50E66E"/>
    <w:lvl w:ilvl="0" w:tplc="FA0650F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31D81"/>
    <w:multiLevelType w:val="hybridMultilevel"/>
    <w:tmpl w:val="2BC8EA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B7CA9"/>
    <w:multiLevelType w:val="hybridMultilevel"/>
    <w:tmpl w:val="D8060044"/>
    <w:lvl w:ilvl="0" w:tplc="BBC89DB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C23558A"/>
    <w:multiLevelType w:val="hybridMultilevel"/>
    <w:tmpl w:val="CD3860A8"/>
    <w:lvl w:ilvl="0" w:tplc="FA0650F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1A2211C"/>
    <w:multiLevelType w:val="hybridMultilevel"/>
    <w:tmpl w:val="D7EE4C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405284"/>
    <w:multiLevelType w:val="hybridMultilevel"/>
    <w:tmpl w:val="DC8EADC8"/>
    <w:lvl w:ilvl="0" w:tplc="355C618E">
      <w:numFmt w:val="bullet"/>
      <w:lvlText w:val="-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322"/>
    <w:rsid w:val="00012A56"/>
    <w:rsid w:val="00012DFC"/>
    <w:rsid w:val="00026322"/>
    <w:rsid w:val="00034369"/>
    <w:rsid w:val="0005000A"/>
    <w:rsid w:val="00067BA3"/>
    <w:rsid w:val="000C3F61"/>
    <w:rsid w:val="000F6442"/>
    <w:rsid w:val="00111998"/>
    <w:rsid w:val="001350FB"/>
    <w:rsid w:val="00141F37"/>
    <w:rsid w:val="00160D34"/>
    <w:rsid w:val="00164CBC"/>
    <w:rsid w:val="001A51EB"/>
    <w:rsid w:val="001B40C4"/>
    <w:rsid w:val="001B4319"/>
    <w:rsid w:val="001B7B94"/>
    <w:rsid w:val="001E523D"/>
    <w:rsid w:val="002056AD"/>
    <w:rsid w:val="0024352F"/>
    <w:rsid w:val="00247FC1"/>
    <w:rsid w:val="002730B6"/>
    <w:rsid w:val="00275E67"/>
    <w:rsid w:val="002D1E73"/>
    <w:rsid w:val="002F7353"/>
    <w:rsid w:val="00334180"/>
    <w:rsid w:val="00335853"/>
    <w:rsid w:val="00337B0B"/>
    <w:rsid w:val="00347F07"/>
    <w:rsid w:val="003879CF"/>
    <w:rsid w:val="003C5A41"/>
    <w:rsid w:val="003D0A89"/>
    <w:rsid w:val="003D4028"/>
    <w:rsid w:val="00423C9B"/>
    <w:rsid w:val="004363AA"/>
    <w:rsid w:val="0044032D"/>
    <w:rsid w:val="00441F5E"/>
    <w:rsid w:val="00454CAE"/>
    <w:rsid w:val="00463A89"/>
    <w:rsid w:val="00470CBC"/>
    <w:rsid w:val="00471EEE"/>
    <w:rsid w:val="00481325"/>
    <w:rsid w:val="00485DC4"/>
    <w:rsid w:val="004937DC"/>
    <w:rsid w:val="004A1810"/>
    <w:rsid w:val="004B1444"/>
    <w:rsid w:val="004B724B"/>
    <w:rsid w:val="004D717D"/>
    <w:rsid w:val="004E1106"/>
    <w:rsid w:val="004E48F8"/>
    <w:rsid w:val="004F6ADB"/>
    <w:rsid w:val="005004B9"/>
    <w:rsid w:val="00511EBC"/>
    <w:rsid w:val="00512162"/>
    <w:rsid w:val="00514FE3"/>
    <w:rsid w:val="00520412"/>
    <w:rsid w:val="005258DC"/>
    <w:rsid w:val="005501AD"/>
    <w:rsid w:val="0056067A"/>
    <w:rsid w:val="00562FDD"/>
    <w:rsid w:val="00571697"/>
    <w:rsid w:val="00573D67"/>
    <w:rsid w:val="005851AF"/>
    <w:rsid w:val="005A1CFA"/>
    <w:rsid w:val="005A6FD0"/>
    <w:rsid w:val="005A7D92"/>
    <w:rsid w:val="005B2479"/>
    <w:rsid w:val="005B367E"/>
    <w:rsid w:val="005C0D70"/>
    <w:rsid w:val="005C3CCE"/>
    <w:rsid w:val="005D26BB"/>
    <w:rsid w:val="006061BC"/>
    <w:rsid w:val="0062506F"/>
    <w:rsid w:val="00664B25"/>
    <w:rsid w:val="006676AC"/>
    <w:rsid w:val="00667B8A"/>
    <w:rsid w:val="006815B7"/>
    <w:rsid w:val="006A54DA"/>
    <w:rsid w:val="006C23B0"/>
    <w:rsid w:val="006E411C"/>
    <w:rsid w:val="0071468A"/>
    <w:rsid w:val="00717C54"/>
    <w:rsid w:val="00723138"/>
    <w:rsid w:val="00744FAA"/>
    <w:rsid w:val="00763285"/>
    <w:rsid w:val="007D0A3D"/>
    <w:rsid w:val="007E46E4"/>
    <w:rsid w:val="007E7A5B"/>
    <w:rsid w:val="008013AF"/>
    <w:rsid w:val="00805053"/>
    <w:rsid w:val="00805626"/>
    <w:rsid w:val="0080588B"/>
    <w:rsid w:val="008263C7"/>
    <w:rsid w:val="008308AE"/>
    <w:rsid w:val="00832519"/>
    <w:rsid w:val="008513F5"/>
    <w:rsid w:val="00854CDD"/>
    <w:rsid w:val="00854EDC"/>
    <w:rsid w:val="008561B9"/>
    <w:rsid w:val="00890BA7"/>
    <w:rsid w:val="0089331B"/>
    <w:rsid w:val="008B4854"/>
    <w:rsid w:val="008C5983"/>
    <w:rsid w:val="008C76BA"/>
    <w:rsid w:val="008D3402"/>
    <w:rsid w:val="008D6F7C"/>
    <w:rsid w:val="008D7F5F"/>
    <w:rsid w:val="009048A6"/>
    <w:rsid w:val="00940FD4"/>
    <w:rsid w:val="00954E80"/>
    <w:rsid w:val="009720A6"/>
    <w:rsid w:val="00977549"/>
    <w:rsid w:val="009C6935"/>
    <w:rsid w:val="009D5968"/>
    <w:rsid w:val="009F774F"/>
    <w:rsid w:val="00A02145"/>
    <w:rsid w:val="00A1567D"/>
    <w:rsid w:val="00A30B65"/>
    <w:rsid w:val="00A5029B"/>
    <w:rsid w:val="00A700E2"/>
    <w:rsid w:val="00AA2BA8"/>
    <w:rsid w:val="00AE3959"/>
    <w:rsid w:val="00B01ED3"/>
    <w:rsid w:val="00B16F8B"/>
    <w:rsid w:val="00B7400A"/>
    <w:rsid w:val="00B93933"/>
    <w:rsid w:val="00B94C20"/>
    <w:rsid w:val="00BB0084"/>
    <w:rsid w:val="00BC5017"/>
    <w:rsid w:val="00BE3194"/>
    <w:rsid w:val="00C004A4"/>
    <w:rsid w:val="00C0103F"/>
    <w:rsid w:val="00C10D4D"/>
    <w:rsid w:val="00C60A9A"/>
    <w:rsid w:val="00C87896"/>
    <w:rsid w:val="00CA12AD"/>
    <w:rsid w:val="00CC608E"/>
    <w:rsid w:val="00CC6E9F"/>
    <w:rsid w:val="00CE584A"/>
    <w:rsid w:val="00CE74BE"/>
    <w:rsid w:val="00CF118D"/>
    <w:rsid w:val="00CF6975"/>
    <w:rsid w:val="00D023B7"/>
    <w:rsid w:val="00D02E66"/>
    <w:rsid w:val="00D359F4"/>
    <w:rsid w:val="00D3772D"/>
    <w:rsid w:val="00D65550"/>
    <w:rsid w:val="00DA6F9D"/>
    <w:rsid w:val="00DB1A86"/>
    <w:rsid w:val="00DB2176"/>
    <w:rsid w:val="00DC5F77"/>
    <w:rsid w:val="00DF34F6"/>
    <w:rsid w:val="00DF3950"/>
    <w:rsid w:val="00DF49F6"/>
    <w:rsid w:val="00DF63AC"/>
    <w:rsid w:val="00E0632A"/>
    <w:rsid w:val="00E17615"/>
    <w:rsid w:val="00E375CD"/>
    <w:rsid w:val="00E67112"/>
    <w:rsid w:val="00E74E18"/>
    <w:rsid w:val="00E948D2"/>
    <w:rsid w:val="00EA665F"/>
    <w:rsid w:val="00EA78CC"/>
    <w:rsid w:val="00EC2BCB"/>
    <w:rsid w:val="00ED6EE0"/>
    <w:rsid w:val="00F013CE"/>
    <w:rsid w:val="00F154BA"/>
    <w:rsid w:val="00F17C36"/>
    <w:rsid w:val="00F23782"/>
    <w:rsid w:val="00F357C2"/>
    <w:rsid w:val="00F562FC"/>
    <w:rsid w:val="00F61B09"/>
    <w:rsid w:val="00F66238"/>
    <w:rsid w:val="00F91A84"/>
    <w:rsid w:val="00FB16DC"/>
    <w:rsid w:val="00FB4FFB"/>
    <w:rsid w:val="00FC009F"/>
    <w:rsid w:val="00FC244C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8</cp:revision>
  <cp:lastPrinted>2017-10-16T22:21:00Z</cp:lastPrinted>
  <dcterms:created xsi:type="dcterms:W3CDTF">2017-10-15T16:53:00Z</dcterms:created>
  <dcterms:modified xsi:type="dcterms:W3CDTF">2018-02-07T12:04:00Z</dcterms:modified>
</cp:coreProperties>
</file>