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EA" w:rsidRPr="00AC46A2" w:rsidRDefault="00786EEA" w:rsidP="008F4ED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AC46A2">
        <w:rPr>
          <w:rFonts w:ascii="Times New Roman" w:hAnsi="Times New Roman"/>
          <w:b/>
          <w:sz w:val="28"/>
          <w:szCs w:val="28"/>
        </w:rPr>
        <w:t>ФІНАНСОВІ МЕХАНІЗМИ ТРАНСФОРМАЦІЇ ІННОВАЦІЙНОГО СУСПІЛЬСТВА</w:t>
      </w:r>
    </w:p>
    <w:p w:rsidR="00786EEA" w:rsidRPr="00AC46A2" w:rsidRDefault="00786EEA" w:rsidP="008F4ED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786EEA" w:rsidRPr="00AC46A2" w:rsidRDefault="00786EEA" w:rsidP="008F4ED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C46A2">
        <w:rPr>
          <w:rFonts w:ascii="Times New Roman" w:hAnsi="Times New Roman"/>
          <w:sz w:val="28"/>
          <w:szCs w:val="28"/>
        </w:rPr>
        <w:t>Ю. О. ГЕРНЕГО, к. е. н.</w:t>
      </w:r>
      <w:bookmarkStart w:id="0" w:name="_GoBack"/>
      <w:bookmarkEnd w:id="0"/>
    </w:p>
    <w:p w:rsidR="00786EEA" w:rsidRPr="00AC46A2" w:rsidRDefault="00786EEA" w:rsidP="008F4ED5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AC46A2">
        <w:rPr>
          <w:rFonts w:ascii="Times New Roman" w:hAnsi="Times New Roman"/>
          <w:i/>
          <w:sz w:val="28"/>
          <w:szCs w:val="28"/>
        </w:rPr>
        <w:t>ДВНЗ «Київський національний економічний університет ім. Вадима Гетьмана»</w:t>
      </w:r>
    </w:p>
    <w:p w:rsidR="00786EEA" w:rsidRPr="008F4ED5" w:rsidRDefault="00786EEA" w:rsidP="008F4ED5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8F4ED5">
        <w:rPr>
          <w:rFonts w:ascii="Times New Roman" w:hAnsi="Times New Roman"/>
          <w:i/>
          <w:sz w:val="28"/>
          <w:szCs w:val="28"/>
        </w:rPr>
        <w:t>IuliiaGern@ukr.net</w:t>
      </w:r>
    </w:p>
    <w:p w:rsidR="00786EEA" w:rsidRPr="00AC46A2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6A2">
        <w:rPr>
          <w:rFonts w:ascii="Times New Roman" w:hAnsi="Times New Roman"/>
          <w:sz w:val="28"/>
          <w:szCs w:val="28"/>
        </w:rPr>
        <w:t xml:space="preserve">Світові тенденції розвитку сучасної економіки визначають необхідність систематичних змін на основі науково-технічного прогресу </w:t>
      </w:r>
      <w:r>
        <w:rPr>
          <w:rFonts w:ascii="Times New Roman" w:hAnsi="Times New Roman"/>
          <w:sz w:val="28"/>
          <w:szCs w:val="28"/>
        </w:rPr>
        <w:t>та інноваційних трансформацій. У зв’язку із цим формуються передумови для посилення інноваційного потенціалу суспільства, реалізації інноваційних парадигм розвитку національної економіки України. Проте, в контексті переходу до інноваційної моделі розвитку економіки уже не достатньо залучення додаткових фінансових ресурсів із традиційних джерел. Насамперед, важливо сформувати якісно-новий склад джерел фінансування, що передбачає еволюцію механізму залучення фінансових ресурсів для цілей інноваційного розвитку.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огляду на трансформацію стратегічних пріоритетів національної економіки, виникнення потреби формування механізму забезпечення розвитку національної інноваційної системи, відповідні теоретичні концепції набули поширення у працях вітчизняних та зарубіжних авторів. Зокрема, серед вітчизняних науковців наведеним вище питанням приділяли увагу </w:t>
      </w:r>
      <w:r w:rsidRPr="00DA5350">
        <w:rPr>
          <w:rFonts w:ascii="Times New Roman" w:hAnsi="Times New Roman"/>
          <w:sz w:val="28"/>
          <w:szCs w:val="28"/>
        </w:rPr>
        <w:t>О. Амоша</w:t>
      </w:r>
      <w:r>
        <w:rPr>
          <w:rFonts w:ascii="Times New Roman" w:hAnsi="Times New Roman"/>
          <w:sz w:val="28"/>
          <w:szCs w:val="28"/>
        </w:rPr>
        <w:t xml:space="preserve">, В. Антонюк </w:t>
      </w:r>
      <w:r w:rsidRPr="00DA535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DA5350">
        <w:rPr>
          <w:rFonts w:ascii="Times New Roman" w:hAnsi="Times New Roman"/>
          <w:sz w:val="28"/>
          <w:szCs w:val="28"/>
        </w:rPr>
        <w:t xml:space="preserve">], </w:t>
      </w:r>
      <w:r>
        <w:rPr>
          <w:rFonts w:ascii="Times New Roman" w:hAnsi="Times New Roman"/>
          <w:sz w:val="28"/>
          <w:szCs w:val="28"/>
        </w:rPr>
        <w:t xml:space="preserve">В. Геєць </w:t>
      </w:r>
      <w:r w:rsidRPr="00DA535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DA5350">
        <w:rPr>
          <w:rFonts w:ascii="Times New Roman" w:hAnsi="Times New Roman"/>
          <w:sz w:val="28"/>
          <w:szCs w:val="28"/>
        </w:rPr>
        <w:t>],</w:t>
      </w:r>
      <w:r>
        <w:rPr>
          <w:rFonts w:ascii="Times New Roman" w:hAnsi="Times New Roman"/>
          <w:sz w:val="28"/>
          <w:szCs w:val="28"/>
        </w:rPr>
        <w:t xml:space="preserve"> Л. Федулова </w:t>
      </w:r>
      <w:r w:rsidRPr="00DA535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DA535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та інші.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Метою нашого дослідження є обґрунтування теоретичного базису для формування дієвих фінансових механізмів трансформації інноваційного суспільства, що сприятиме практичній активізації процесів формування національної інноваційної системи в Україні.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 сьогодні у нашій країні джерела фінансування інноваційної діяльності визначено на законодавчому рівні згідно законів України </w:t>
      </w:r>
      <w:r w:rsidRPr="000F14DF">
        <w:rPr>
          <w:rFonts w:ascii="Times New Roman" w:hAnsi="Times New Roman"/>
          <w:sz w:val="28"/>
          <w:szCs w:val="28"/>
        </w:rPr>
        <w:t>«Про інноваційну діяльність» та «Про інвестиційну діяльність»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35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4; 5</w:t>
      </w:r>
      <w:r w:rsidRPr="00DA535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(рис.1).</w:t>
      </w:r>
    </w:p>
    <w:p w:rsidR="00786EEA" w:rsidRDefault="00786EEA" w:rsidP="008F4ED5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F4ED5">
        <w:rPr>
          <w:rFonts w:ascii="Times New Roman" w:hAnsi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55.75pt">
            <v:imagedata r:id="rId5" o:title=""/>
          </v:shape>
        </w:pict>
      </w:r>
    </w:p>
    <w:p w:rsidR="00786EEA" w:rsidRPr="008F4ED5" w:rsidRDefault="00786EEA" w:rsidP="008F4ED5">
      <w:pPr>
        <w:pStyle w:val="1"/>
        <w:spacing w:after="0" w:line="288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4ED5">
        <w:rPr>
          <w:rFonts w:ascii="Times New Roman" w:hAnsi="Times New Roman" w:cs="Times New Roman"/>
          <w:bCs/>
          <w:sz w:val="28"/>
          <w:szCs w:val="28"/>
          <w:lang w:val="uk-UA"/>
        </w:rPr>
        <w:t>Рис. 1. – Джерела фінансування інноваційної діяльності в Україні [4; 5]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практиці, згідно даних Державної служби статистики України у 2015 році 97 % фінансових ресурсів для досягнення пріоритетів інноваційної діяльності залучено за рахунок власних коштів суб’єктів господарювання. Одночасно, з державного бюджету залучено лише 0,3 % фінансових ресурсів, 0,4 % припадає на кошти іноземних інвесторів, а 1,9 % - на інші джерела [</w:t>
      </w:r>
      <w:r w:rsidRPr="00AC7589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].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огляду на наведені статистичні дані, спостерігаємо наявність потенціалу для оптимізації залучення фінансових ресурсів з метою активізації інноваційної діяльності в контексті розвитку національної економіки. Зокрема, важливими є якісні зміни стосовно фінансових ресурсів, які залучаються безпосередньо за рахунок можливостей суб’єктів господарювання. Здебільшого, на сьогодні такі фінансові ресурси забезпечують просте відтворення в межах наявних виробничих можливостей. 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Водночас, інтернаціоналізація сучасного суспільства передбачає можливості врахування прогресивного досвіду розвинених країн, де, здебільшого, популяризуються механізми залучення інноваційних фінансових ресурсів за посередництвом венчурних та/або інвестиційних фондів. Наприклад, звичним прогнозованим підсум</w:t>
      </w:r>
      <w:r w:rsidRPr="0037365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373657">
        <w:rPr>
          <w:rFonts w:ascii="Times New Roman" w:hAnsi="Times New Roman"/>
          <w:sz w:val="28"/>
          <w:szCs w:val="28"/>
        </w:rPr>
        <w:t xml:space="preserve"> європейського або американського венчурного фонду</w:t>
      </w:r>
      <w:r>
        <w:rPr>
          <w:rFonts w:ascii="Times New Roman" w:hAnsi="Times New Roman"/>
          <w:sz w:val="28"/>
          <w:szCs w:val="28"/>
        </w:rPr>
        <w:t xml:space="preserve"> є приріст </w:t>
      </w:r>
      <w:r w:rsidRPr="00373657">
        <w:rPr>
          <w:rFonts w:ascii="Times New Roman" w:hAnsi="Times New Roman"/>
          <w:sz w:val="28"/>
          <w:szCs w:val="28"/>
        </w:rPr>
        <w:t xml:space="preserve">грошових коштів </w:t>
      </w:r>
      <w:r>
        <w:rPr>
          <w:rFonts w:ascii="Times New Roman" w:hAnsi="Times New Roman"/>
          <w:sz w:val="28"/>
          <w:szCs w:val="28"/>
        </w:rPr>
        <w:t>у 10 разів протягом лише 5-7 років [</w:t>
      </w: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]</w:t>
      </w:r>
      <w:r w:rsidRPr="003736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Розширення потенціалу фінансування за рахунок інтенсифікації використання фінансових ресурсів державного та місцевих бюджетів можливе, зокрема, за посередництвом активізації механізмів державно-приватного партнерства. Наприклад, в Австрії такі програми забезпечують 2,8 % бюджету призначеного для реалізації науково-технічних розробок. Водночас, експерти стверджують, що роль державно-приватного партнерства для інноваційного розвитку країни перевищує видатки на оптимізацію таких структур [</w:t>
      </w:r>
      <w:r w:rsidRPr="002D53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]</w:t>
      </w:r>
      <w:r w:rsidRPr="00373657">
        <w:rPr>
          <w:rFonts w:ascii="Times New Roman" w:hAnsi="Times New Roman"/>
          <w:sz w:val="28"/>
          <w:szCs w:val="28"/>
        </w:rPr>
        <w:t>.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Прогресивні міжнародні тенденції зумовлюють необхідність активізувати фінансування інноваційної діяльності за рахунок коштів іноземних інвесторів, а також інших джерел. Зокрема, поєднання зазначених пріоритетів можливе за рахунок залучення вітчизняних суб’єктів господарювання до процесів фандрайзингу за посередництвом мережі інтернет, а саме активізації їх ділової активності за посередництвом краудфандингових платформ. Однією із найбільш відомих у світі є американська платформа </w:t>
      </w:r>
      <w:r w:rsidRPr="007300B1">
        <w:rPr>
          <w:rFonts w:ascii="Times New Roman" w:hAnsi="Times New Roman"/>
          <w:sz w:val="28"/>
          <w:szCs w:val="28"/>
        </w:rPr>
        <w:t>Kickstarter</w:t>
      </w:r>
      <w:r>
        <w:rPr>
          <w:rFonts w:ascii="Times New Roman" w:hAnsi="Times New Roman"/>
          <w:sz w:val="28"/>
          <w:szCs w:val="28"/>
        </w:rPr>
        <w:t xml:space="preserve">, де станом на 2015 рокі було профінансовано </w:t>
      </w:r>
      <w:r w:rsidRPr="007300B1">
        <w:rPr>
          <w:rFonts w:ascii="Times New Roman" w:hAnsi="Times New Roman"/>
          <w:sz w:val="28"/>
          <w:szCs w:val="28"/>
        </w:rPr>
        <w:t>78 592 проектів</w:t>
      </w:r>
      <w:r>
        <w:rPr>
          <w:rFonts w:ascii="Times New Roman" w:hAnsi="Times New Roman"/>
          <w:sz w:val="28"/>
          <w:szCs w:val="28"/>
        </w:rPr>
        <w:t xml:space="preserve"> на суму </w:t>
      </w:r>
      <w:r w:rsidRPr="007300B1">
        <w:rPr>
          <w:rFonts w:ascii="Times New Roman" w:hAnsi="Times New Roman"/>
          <w:sz w:val="28"/>
          <w:szCs w:val="28"/>
        </w:rPr>
        <w:t>1,3 млрд доларів</w:t>
      </w:r>
      <w:r>
        <w:rPr>
          <w:rFonts w:ascii="Times New Roman" w:hAnsi="Times New Roman"/>
          <w:sz w:val="28"/>
          <w:szCs w:val="28"/>
        </w:rPr>
        <w:t xml:space="preserve"> [9]</w:t>
      </w:r>
      <w:r w:rsidRPr="007300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Вихід вітчизняних інноваторів на міжнародні краудфандингові ринки вважаємо прогресивним, оскільки це забезпечить одночасну диверсифікацію джерел залучення фінансових ресурсів з огляду на міжнародні ринки, а також активізацію інноваційного напряму ділової активності вітчизняних інвесторів.</w:t>
      </w:r>
    </w:p>
    <w:p w:rsidR="00786EEA" w:rsidRDefault="00786EEA" w:rsidP="008F4ED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чином, в контексті формування фінансового механізму трансформації інноваційного суспільства в Україні можливою є реалізація наступних заходів:</w:t>
      </w:r>
    </w:p>
    <w:p w:rsidR="00786EEA" w:rsidRDefault="00786EEA" w:rsidP="008F4ED5">
      <w:pPr>
        <w:pStyle w:val="ListParagraph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активізація діяльності венчурних фондів та інших альтернативних спеціалізованих інноваційно-орієнтованих фінансових установ;</w:t>
      </w:r>
    </w:p>
    <w:p w:rsidR="00786EEA" w:rsidRDefault="00786EEA" w:rsidP="008F4ED5">
      <w:pPr>
        <w:pStyle w:val="ListParagraph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системи державно-приватного партнерства між спеціалізованими фінансовими установами інноваційного спрямування як державної так і приватної власності;</w:t>
      </w:r>
    </w:p>
    <w:p w:rsidR="00786EEA" w:rsidRDefault="00786EEA" w:rsidP="008F4ED5">
      <w:pPr>
        <w:pStyle w:val="ListParagraph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реалізація заходів, спрямованих на залучення інтернет-технологій до системи фінансового забезпечення інноваційного розвитку економіки України;</w:t>
      </w:r>
    </w:p>
    <w:p w:rsidR="00786EEA" w:rsidRPr="00CC4306" w:rsidRDefault="00786EEA" w:rsidP="008F4ED5">
      <w:pPr>
        <w:pStyle w:val="ListParagraph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на державному рівні спеціалізованих структур для координації фінансових можливостей та інноваційних пріоритетів традиційних та інтернет-організацій з метою досягнення ключових цілей інноваційного розвитку національної економіки</w:t>
      </w:r>
      <w:r w:rsidRPr="00CC4306">
        <w:rPr>
          <w:rFonts w:ascii="Times New Roman" w:hAnsi="Times New Roman"/>
          <w:sz w:val="28"/>
          <w:szCs w:val="28"/>
        </w:rPr>
        <w:t>;</w:t>
      </w:r>
    </w:p>
    <w:p w:rsidR="00786EEA" w:rsidRPr="008F4ED5" w:rsidRDefault="00786EEA" w:rsidP="008F4ED5">
      <w:pPr>
        <w:pStyle w:val="ListParagraph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активізація співпраці між національними та зарубіжними інноваційно-орієнтованими фінансовими організаціями.</w:t>
      </w:r>
    </w:p>
    <w:p w:rsidR="00786EEA" w:rsidRPr="005673A6" w:rsidRDefault="00786EEA" w:rsidP="008F4ED5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86EEA" w:rsidRPr="008F4ED5" w:rsidRDefault="00786EEA" w:rsidP="008F4ED5">
      <w:pPr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4ED5">
        <w:rPr>
          <w:rFonts w:ascii="Times New Roman" w:hAnsi="Times New Roman"/>
          <w:b/>
          <w:sz w:val="24"/>
          <w:szCs w:val="24"/>
        </w:rPr>
        <w:t>Список використаних джерел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Амоша О. І. Людський капітал регіонів України в контексті інноваційного розвитку: монографія / [В.П. Антонюк, О.І. Амоша, Л.Г Мельцер та ін.]; НАН України, Ін-т економіки пром-сті. – Донецьк, 2011. – 308 с.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Геєць В.М. Якісні зміни в економіці України є нагальними / В. М. Геєць // Вісник Національного банку України. – 2014. – № 4. – С. 5-9.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Федулова Л. І. Інноваційно-технологічні хаби – драйвери розвитку регіону / Л. І. Федулова // Економ. теорія та право. – 2016. – № 1. – С. 11 – 28.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Про інноваційну діяльність: Закон України від 4.07.2002 № 40-ІV / [Електронний ресурс]. – Режим доступу: http://zakon.rada.gov.ua/cgi-bin/laws/main.cgi?nreg=40-15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Про інвестиційну діяльність: Закон України від 18.09.1991 р. № 1560–ХІІ / [Електронний ресурс]. – Режим доступу:  www.zakon1.rada.gov.ua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Державна служба статистики України. Офіційний сайт. Наука та інновації. Наукова та інноваційна діяльність (1990 – 2016 р. р.). / [Електронний ресурс]. – Режим доступу: http://www.ukrstat.gov.ua/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Удовиченко В. П. Зарубіжний досвід венчурного інвестування інвестиційно-інноваційної моделі розвитку аграрної економіки. / В. П. Удовиченко //Український журнал прикладної економіки. – 2016. –Т. 1. – № 2. – С. 115 – 123.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Public – Private Partnerships for research and innovation: An evaluation of Austrian Experience. OECD. – Електронний ресурс. Режим доступу: http://www.oecd.org/dataoecd/49/17/ 25717078.pdf</w:t>
      </w:r>
    </w:p>
    <w:p w:rsidR="00786EEA" w:rsidRPr="008F4ED5" w:rsidRDefault="00786EEA" w:rsidP="008F4ED5">
      <w:pPr>
        <w:pStyle w:val="ListParagraph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ED5">
        <w:rPr>
          <w:rFonts w:ascii="Times New Roman" w:hAnsi="Times New Roman"/>
          <w:sz w:val="24"/>
          <w:szCs w:val="24"/>
        </w:rPr>
        <w:t>Kickstarter Stats. Official website. – Електронний ресурс. Режим доступу: http://www.kickstarter.com/help/stats</w:t>
      </w:r>
    </w:p>
    <w:sectPr w:rsidR="00786EEA" w:rsidRPr="008F4ED5" w:rsidSect="008F4ED5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0090"/>
    <w:multiLevelType w:val="hybridMultilevel"/>
    <w:tmpl w:val="3E9C4BC4"/>
    <w:lvl w:ilvl="0" w:tplc="EB2C87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A8761DB"/>
    <w:multiLevelType w:val="hybridMultilevel"/>
    <w:tmpl w:val="CAFCA382"/>
    <w:lvl w:ilvl="0" w:tplc="A04624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B9E3886"/>
    <w:multiLevelType w:val="hybridMultilevel"/>
    <w:tmpl w:val="0F7EC6C6"/>
    <w:lvl w:ilvl="0" w:tplc="D384EA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10C"/>
    <w:rsid w:val="000302F7"/>
    <w:rsid w:val="00032D39"/>
    <w:rsid w:val="00041D2D"/>
    <w:rsid w:val="000640BA"/>
    <w:rsid w:val="000D2BAC"/>
    <w:rsid w:val="000D70D4"/>
    <w:rsid w:val="000F14DF"/>
    <w:rsid w:val="000F3244"/>
    <w:rsid w:val="00165EE9"/>
    <w:rsid w:val="00175FA4"/>
    <w:rsid w:val="001F2810"/>
    <w:rsid w:val="001F5BC9"/>
    <w:rsid w:val="002150A7"/>
    <w:rsid w:val="00234063"/>
    <w:rsid w:val="002B1C50"/>
    <w:rsid w:val="002D5364"/>
    <w:rsid w:val="00353770"/>
    <w:rsid w:val="00373657"/>
    <w:rsid w:val="003E1DC1"/>
    <w:rsid w:val="003F34C1"/>
    <w:rsid w:val="004B6499"/>
    <w:rsid w:val="004E63B6"/>
    <w:rsid w:val="004F7795"/>
    <w:rsid w:val="00505E04"/>
    <w:rsid w:val="005075E8"/>
    <w:rsid w:val="0054610C"/>
    <w:rsid w:val="005673A6"/>
    <w:rsid w:val="005D5EAF"/>
    <w:rsid w:val="00660086"/>
    <w:rsid w:val="006A471D"/>
    <w:rsid w:val="006F4EF5"/>
    <w:rsid w:val="00704DCE"/>
    <w:rsid w:val="00707071"/>
    <w:rsid w:val="007300B1"/>
    <w:rsid w:val="0073561C"/>
    <w:rsid w:val="00786EEA"/>
    <w:rsid w:val="007D4DC8"/>
    <w:rsid w:val="007F1216"/>
    <w:rsid w:val="007F7188"/>
    <w:rsid w:val="00831F31"/>
    <w:rsid w:val="00893F73"/>
    <w:rsid w:val="008C1AB3"/>
    <w:rsid w:val="008C5752"/>
    <w:rsid w:val="008F4ED5"/>
    <w:rsid w:val="00924AD9"/>
    <w:rsid w:val="00926749"/>
    <w:rsid w:val="00966B04"/>
    <w:rsid w:val="0098288B"/>
    <w:rsid w:val="00985DBC"/>
    <w:rsid w:val="00A24A88"/>
    <w:rsid w:val="00A31EB9"/>
    <w:rsid w:val="00AA6609"/>
    <w:rsid w:val="00AC46A2"/>
    <w:rsid w:val="00AC7589"/>
    <w:rsid w:val="00B16EF6"/>
    <w:rsid w:val="00B37EC6"/>
    <w:rsid w:val="00B42A6B"/>
    <w:rsid w:val="00B46165"/>
    <w:rsid w:val="00B5508D"/>
    <w:rsid w:val="00B73355"/>
    <w:rsid w:val="00BA4882"/>
    <w:rsid w:val="00C054B3"/>
    <w:rsid w:val="00C2568C"/>
    <w:rsid w:val="00C43FEC"/>
    <w:rsid w:val="00C45C0B"/>
    <w:rsid w:val="00C56186"/>
    <w:rsid w:val="00C73FAC"/>
    <w:rsid w:val="00C81AD4"/>
    <w:rsid w:val="00C95A24"/>
    <w:rsid w:val="00CC4306"/>
    <w:rsid w:val="00CE09A1"/>
    <w:rsid w:val="00D13E52"/>
    <w:rsid w:val="00D3678A"/>
    <w:rsid w:val="00D73463"/>
    <w:rsid w:val="00DA5350"/>
    <w:rsid w:val="00DA5649"/>
    <w:rsid w:val="00DB111C"/>
    <w:rsid w:val="00DD1013"/>
    <w:rsid w:val="00E13FA0"/>
    <w:rsid w:val="00E30862"/>
    <w:rsid w:val="00E62150"/>
    <w:rsid w:val="00F60D21"/>
    <w:rsid w:val="00FA1C90"/>
    <w:rsid w:val="00FB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31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1D2D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926749"/>
    <w:pPr>
      <w:ind w:left="720"/>
    </w:pPr>
    <w:rPr>
      <w:rFonts w:eastAsia="Times New Roman" w:cs="Calibri"/>
      <w:lang w:val="ru-RU" w:eastAsia="ru-RU"/>
    </w:rPr>
  </w:style>
  <w:style w:type="character" w:styleId="Hyperlink">
    <w:name w:val="Hyperlink"/>
    <w:basedOn w:val="DefaultParagraphFont"/>
    <w:uiPriority w:val="99"/>
    <w:rsid w:val="007D4DC8"/>
    <w:rPr>
      <w:rFonts w:cs="Times New Roman"/>
      <w:color w:val="0000FF"/>
      <w:u w:val="single"/>
    </w:rPr>
  </w:style>
  <w:style w:type="character" w:customStyle="1" w:styleId="s2">
    <w:name w:val="s2"/>
    <w:basedOn w:val="DefaultParagraphFont"/>
    <w:uiPriority w:val="99"/>
    <w:rsid w:val="00AC75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4</Pages>
  <Words>1022</Words>
  <Characters>5826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Admincht</cp:lastModifiedBy>
  <cp:revision>97</cp:revision>
  <dcterms:created xsi:type="dcterms:W3CDTF">2017-01-17T07:53:00Z</dcterms:created>
  <dcterms:modified xsi:type="dcterms:W3CDTF">2017-01-19T10:01:00Z</dcterms:modified>
</cp:coreProperties>
</file>