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7B" w:rsidRPr="00DD621F" w:rsidRDefault="00E6547B" w:rsidP="00DD621F">
      <w:pPr>
        <w:spacing w:line="288" w:lineRule="auto"/>
        <w:jc w:val="left"/>
        <w:rPr>
          <w:rFonts w:ascii="Times New Roman" w:hAnsi="Times New Roman"/>
          <w:b/>
          <w:sz w:val="28"/>
          <w:szCs w:val="28"/>
          <w:lang w:val="uk-UA"/>
        </w:rPr>
      </w:pPr>
      <w:r w:rsidRPr="00DD621F">
        <w:rPr>
          <w:rFonts w:ascii="Times New Roman" w:hAnsi="Times New Roman"/>
          <w:b/>
          <w:sz w:val="28"/>
          <w:szCs w:val="28"/>
          <w:lang w:val="uk-UA"/>
        </w:rPr>
        <w:t xml:space="preserve">ОСОБЛИВОСТІ АНАЛІЗУ РЕНТАБЕЛЬНОСТІ  ПІДПРИЄМСТВ ЖИТЛОВО-КОМУНАЛЬНОГО ГОСПОДАРСТВА </w:t>
      </w:r>
    </w:p>
    <w:p w:rsidR="00E6547B" w:rsidRPr="00DD621F" w:rsidRDefault="00E6547B" w:rsidP="00DD621F">
      <w:pPr>
        <w:spacing w:line="288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6547B" w:rsidRPr="00326678" w:rsidRDefault="00E6547B" w:rsidP="00DD621F">
      <w:pPr>
        <w:spacing w:line="288" w:lineRule="auto"/>
        <w:rPr>
          <w:rFonts w:ascii="Times New Roman" w:hAnsi="Times New Roman"/>
          <w:spacing w:val="-8"/>
          <w:sz w:val="28"/>
          <w:szCs w:val="28"/>
          <w:lang w:val="uk-UA"/>
        </w:rPr>
      </w:pPr>
      <w:r w:rsidRPr="00326678">
        <w:rPr>
          <w:rFonts w:ascii="Times New Roman" w:hAnsi="Times New Roman"/>
          <w:spacing w:val="-8"/>
          <w:sz w:val="28"/>
          <w:szCs w:val="28"/>
          <w:lang w:val="uk-UA"/>
        </w:rPr>
        <w:t>О.В. ДИМЧЕНКО, д-р екон. наук, проф., Ю.О. ТАРАРАУЄВ, канд. екон. наук, доц.</w:t>
      </w:r>
    </w:p>
    <w:p w:rsidR="00E6547B" w:rsidRDefault="00E6547B" w:rsidP="00DD621F">
      <w:pPr>
        <w:spacing w:line="288" w:lineRule="auto"/>
        <w:rPr>
          <w:rFonts w:ascii="Times New Roman" w:hAnsi="Times New Roman"/>
          <w:i/>
          <w:sz w:val="28"/>
          <w:szCs w:val="28"/>
          <w:lang w:val="uk-UA"/>
        </w:rPr>
      </w:pPr>
      <w:r w:rsidRPr="00DD621F">
        <w:rPr>
          <w:rFonts w:ascii="Times New Roman" w:hAnsi="Times New Roman"/>
          <w:i/>
          <w:sz w:val="28"/>
          <w:szCs w:val="28"/>
          <w:lang w:val="uk-UA"/>
        </w:rPr>
        <w:t xml:space="preserve">Харківський національний університет міського господарства </w:t>
      </w:r>
    </w:p>
    <w:p w:rsidR="00E6547B" w:rsidRPr="00DD621F" w:rsidRDefault="00E6547B" w:rsidP="00DD621F">
      <w:pPr>
        <w:spacing w:line="288" w:lineRule="auto"/>
        <w:rPr>
          <w:rFonts w:ascii="Times New Roman" w:hAnsi="Times New Roman"/>
          <w:i/>
          <w:sz w:val="28"/>
          <w:szCs w:val="28"/>
          <w:lang w:val="uk-UA"/>
        </w:rPr>
      </w:pPr>
      <w:r w:rsidRPr="00DD621F">
        <w:rPr>
          <w:rFonts w:ascii="Times New Roman" w:hAnsi="Times New Roman"/>
          <w:i/>
          <w:sz w:val="28"/>
          <w:szCs w:val="28"/>
          <w:lang w:val="uk-UA"/>
        </w:rPr>
        <w:t>імені О.М. Бекетова</w:t>
      </w:r>
    </w:p>
    <w:p w:rsidR="00E6547B" w:rsidRPr="00DD621F" w:rsidRDefault="00E6547B" w:rsidP="00DD621F">
      <w:pPr>
        <w:spacing w:line="288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6547B" w:rsidRPr="00DD621F" w:rsidRDefault="00E6547B" w:rsidP="00DD621F">
      <w:pPr>
        <w:spacing w:line="288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DD621F">
        <w:rPr>
          <w:rFonts w:ascii="Times New Roman" w:hAnsi="Times New Roman"/>
          <w:sz w:val="28"/>
          <w:szCs w:val="28"/>
          <w:lang w:val="uk-UA"/>
        </w:rPr>
        <w:t xml:space="preserve">Необхідність першочергового вирішення численних проблем житлово-комунального господарства сьогодні є доволі очевидною і пояснюється тим, що якість надання послуг ЖКГ є не лише економічним, а й соціальним фактором, що суттєво впливає на якість життя населення. </w:t>
      </w:r>
    </w:p>
    <w:p w:rsidR="00E6547B" w:rsidRPr="00DD621F" w:rsidRDefault="00E6547B" w:rsidP="00DD621F">
      <w:pPr>
        <w:spacing w:line="288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DD621F">
        <w:rPr>
          <w:rFonts w:ascii="Times New Roman" w:hAnsi="Times New Roman"/>
          <w:sz w:val="28"/>
          <w:szCs w:val="28"/>
          <w:lang w:val="uk-UA"/>
        </w:rPr>
        <w:t xml:space="preserve">Одним з можливих шляхів підвищення ефективності діяльності означеної галузі є аналіз чинників, що обумовлюють фінансові результати та рентабельність підприємств ЖКГ. </w:t>
      </w:r>
    </w:p>
    <w:p w:rsidR="00E6547B" w:rsidRPr="00DD621F" w:rsidRDefault="00E6547B" w:rsidP="00DD621F">
      <w:pPr>
        <w:spacing w:line="288" w:lineRule="auto"/>
        <w:ind w:firstLine="709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DD621F">
        <w:rPr>
          <w:rFonts w:ascii="Times New Roman" w:hAnsi="Times New Roman"/>
          <w:sz w:val="28"/>
          <w:szCs w:val="28"/>
          <w:lang w:val="uk-UA"/>
        </w:rPr>
        <w:t>Аналізуючи наукові роботи вчених, що досліджували проблеми розвитку і підвищення ефективності підприємств житлово-комунального господарства, слід відзначити вагомий внесок таких авторів як: А. Амосов, Т.П. Гладчук, Б.М. Данилишин, Т.М. Строкань та ін.</w:t>
      </w:r>
      <w:bookmarkStart w:id="0" w:name="_GoBack"/>
      <w:bookmarkEnd w:id="0"/>
      <w:r w:rsidRPr="00DD621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DD621F">
        <w:rPr>
          <w:rFonts w:ascii="Times New Roman" w:hAnsi="Times New Roman"/>
          <w:color w:val="000000"/>
          <w:sz w:val="28"/>
          <w:szCs w:val="28"/>
          <w:lang w:val="uk-UA"/>
        </w:rPr>
        <w:t xml:space="preserve">Крім того, заслуговують на увагу наукові роботи Ф.Ф. Бутинця, Г.І. Кіндрацької, В.О. Костюка, Г.В. Савицької, М.Г. Чумаченка, А.Д. Шеремета та ін., що вирішували завдання удосконалення методів економічного аналізу. </w:t>
      </w:r>
    </w:p>
    <w:p w:rsidR="00E6547B" w:rsidRPr="00DD621F" w:rsidRDefault="00E6547B" w:rsidP="00DD621F">
      <w:pPr>
        <w:spacing w:line="288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DD621F">
        <w:rPr>
          <w:rFonts w:ascii="Times New Roman" w:hAnsi="Times New Roman"/>
          <w:sz w:val="28"/>
          <w:szCs w:val="28"/>
          <w:lang w:val="uk-UA"/>
        </w:rPr>
        <w:t>Серед методів, що традиційно застосовуються для аналізу рентабельності суб’єктів господарювання варто виділити багатофакторні мультиплікативні моделі економічного аналізу, найбільш розповсюдженою з яких вважається модель компанії Дюпон (</w:t>
      </w:r>
      <w:r w:rsidRPr="00DD621F">
        <w:rPr>
          <w:rFonts w:ascii="Times New Roman" w:hAnsi="Times New Roman"/>
          <w:sz w:val="28"/>
          <w:szCs w:val="28"/>
          <w:lang w:val="en-US"/>
        </w:rPr>
        <w:t>Du</w:t>
      </w:r>
      <w:r w:rsidRPr="00DD62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621F">
        <w:rPr>
          <w:rFonts w:ascii="Times New Roman" w:hAnsi="Times New Roman"/>
          <w:sz w:val="28"/>
          <w:szCs w:val="28"/>
          <w:lang w:val="en-US"/>
        </w:rPr>
        <w:t>Pont</w:t>
      </w:r>
      <w:r w:rsidRPr="00DD621F">
        <w:rPr>
          <w:rFonts w:ascii="Times New Roman" w:hAnsi="Times New Roman"/>
          <w:sz w:val="28"/>
          <w:szCs w:val="28"/>
          <w:lang w:val="uk-UA"/>
        </w:rPr>
        <w:t xml:space="preserve">). Як відомо, згадана модель розроблена у двох варіантах: </w:t>
      </w:r>
    </w:p>
    <w:p w:rsidR="00E6547B" w:rsidRPr="00DD621F" w:rsidRDefault="00E6547B" w:rsidP="00DD621F">
      <w:pPr>
        <w:spacing w:line="288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DD621F">
        <w:rPr>
          <w:rFonts w:ascii="Times New Roman" w:hAnsi="Times New Roman"/>
          <w:sz w:val="28"/>
          <w:szCs w:val="28"/>
          <w:lang w:val="uk-UA"/>
        </w:rPr>
        <w:t>а) для аналізу рентабельності активів цей результативний показник розкладається з використанням рентабельності реалізації та оборотності сукупних активів підприємства;</w:t>
      </w:r>
    </w:p>
    <w:p w:rsidR="00E6547B" w:rsidRPr="00DD621F" w:rsidRDefault="00E6547B" w:rsidP="00DD621F">
      <w:pPr>
        <w:spacing w:line="288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DD621F">
        <w:rPr>
          <w:rFonts w:ascii="Times New Roman" w:hAnsi="Times New Roman"/>
          <w:sz w:val="28"/>
          <w:szCs w:val="28"/>
          <w:lang w:val="uk-UA"/>
        </w:rPr>
        <w:t xml:space="preserve">б) з метою аналізу рентабельності власного капіталу до попереднього варіанту моделі додається показник активів на одиницю власного капіталу, що у деяких іноземних роботах отримав назву левериджу. </w:t>
      </w:r>
    </w:p>
    <w:p w:rsidR="00E6547B" w:rsidRPr="00DD621F" w:rsidRDefault="00E6547B" w:rsidP="00DD621F">
      <w:pPr>
        <w:spacing w:line="288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DD621F">
        <w:rPr>
          <w:rFonts w:ascii="Times New Roman" w:hAnsi="Times New Roman"/>
          <w:sz w:val="28"/>
          <w:szCs w:val="28"/>
          <w:lang w:val="uk-UA"/>
        </w:rPr>
        <w:t>Таким чином, варіанти моделі компанії Дюпон набувають вигляду:</w:t>
      </w:r>
    </w:p>
    <w:p w:rsidR="00E6547B" w:rsidRPr="00DD621F" w:rsidRDefault="00E6547B" w:rsidP="00DD621F">
      <w:pPr>
        <w:spacing w:line="288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rect id="Прямоугольник 1" o:spid="_x0000_s1026" style="position:absolute;left:0;text-align:left;margin-left:33.05pt;margin-top:6.15pt;width:423.15pt;height:25.8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" filled="f" stroked="f" strokeweight="2pt">
            <v:textbox>
              <w:txbxContent>
                <w:p w:rsidR="00E6547B" w:rsidRPr="00EC3CFB" w:rsidRDefault="00E6547B" w:rsidP="00BD6508">
                  <w:pPr>
                    <w:jc w:val="left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uk-UA"/>
                    </w:rPr>
                  </w:pPr>
                  <w:r w:rsidRPr="00EC3CFB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uk-UA"/>
                    </w:rPr>
                    <w:t xml:space="preserve">Рентабельність активів = Оборотність активів × Рентабельність реалізації </w:t>
                  </w:r>
                </w:p>
              </w:txbxContent>
            </v:textbox>
          </v:rect>
        </w:pict>
      </w:r>
      <w:r w:rsidRPr="00DD621F">
        <w:rPr>
          <w:rFonts w:ascii="Times New Roman" w:hAnsi="Times New Roman"/>
          <w:sz w:val="28"/>
          <w:szCs w:val="28"/>
          <w:lang w:val="uk-UA"/>
        </w:rPr>
        <w:tab/>
      </w:r>
    </w:p>
    <w:p w:rsidR="00E6547B" w:rsidRPr="00DD621F" w:rsidRDefault="00E6547B" w:rsidP="00DD621F">
      <w:pPr>
        <w:spacing w:line="288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rect id="Прямоугольник 2" o:spid="_x0000_s1027" style="position:absolute;left:0;text-align:left;margin-left:32.95pt;margin-top:8.3pt;width:423.15pt;height:40.0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" filled="f" stroked="f" strokeweight="2pt">
            <v:textbox>
              <w:txbxContent>
                <w:p w:rsidR="00E6547B" w:rsidRPr="00EC3CFB" w:rsidRDefault="00E6547B" w:rsidP="00BD6508">
                  <w:pPr>
                    <w:jc w:val="left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uk-UA"/>
                    </w:rPr>
                  </w:pPr>
                  <w:r w:rsidRPr="00EC3CFB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uk-UA"/>
                    </w:rPr>
                    <w:t>Рентабельність власного капіталу = Оборотність активів × Рентабельність реалізації × Активи на одиницю власного капіталу</w:t>
                  </w:r>
                </w:p>
              </w:txbxContent>
            </v:textbox>
          </v:rect>
        </w:pict>
      </w:r>
    </w:p>
    <w:p w:rsidR="00E6547B" w:rsidRPr="00DD621F" w:rsidRDefault="00E6547B" w:rsidP="00DD621F">
      <w:pPr>
        <w:spacing w:line="288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6547B" w:rsidRPr="00DD621F" w:rsidRDefault="00E6547B" w:rsidP="00DD621F">
      <w:pPr>
        <w:spacing w:line="288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6547B" w:rsidRPr="00DD621F" w:rsidRDefault="00E6547B" w:rsidP="00DD621F">
      <w:pPr>
        <w:spacing w:line="288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DD621F">
        <w:rPr>
          <w:rFonts w:ascii="Times New Roman" w:hAnsi="Times New Roman"/>
          <w:sz w:val="28"/>
          <w:szCs w:val="28"/>
          <w:lang w:val="uk-UA"/>
        </w:rPr>
        <w:t>Наведені моделі являють собою типовий приклад застосування методів економічного аналізу для вирішення актуальних завдань суб’єктів господарювання, але для їх застосування у сфері ЖКГ, на нашу думку,  варто врахувати наступне:</w:t>
      </w:r>
    </w:p>
    <w:p w:rsidR="00E6547B" w:rsidRPr="00DD621F" w:rsidRDefault="00E6547B" w:rsidP="00DD621F">
      <w:pPr>
        <w:pStyle w:val="ListParagraph"/>
        <w:numPr>
          <w:ilvl w:val="0"/>
          <w:numId w:val="2"/>
        </w:numPr>
        <w:spacing w:line="288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DD621F">
        <w:rPr>
          <w:rFonts w:ascii="Times New Roman" w:hAnsi="Times New Roman"/>
          <w:sz w:val="28"/>
          <w:szCs w:val="28"/>
          <w:lang w:val="uk-UA"/>
        </w:rPr>
        <w:t xml:space="preserve">Рентабельність власного капіталу не відображає в достатній мірі ефективності роботи підприємств ЖКГ, оскільки річний прибуток генерується не лише власним, а, насамперед, залученим капіталом, що пояснюється значною величиною поточних зобов’язань підприємств галузі. </w:t>
      </w:r>
    </w:p>
    <w:p w:rsidR="00E6547B" w:rsidRPr="00DD621F" w:rsidRDefault="00E6547B" w:rsidP="00DD621F">
      <w:pPr>
        <w:pStyle w:val="ListParagraph"/>
        <w:numPr>
          <w:ilvl w:val="0"/>
          <w:numId w:val="2"/>
        </w:numPr>
        <w:spacing w:line="288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DD621F">
        <w:rPr>
          <w:rFonts w:ascii="Times New Roman" w:hAnsi="Times New Roman"/>
          <w:sz w:val="28"/>
          <w:szCs w:val="28"/>
          <w:lang w:val="uk-UA"/>
        </w:rPr>
        <w:t xml:space="preserve">Моделі компанії Дюпон не відображають вплив дебіторської заборгованості на результати роботи підприємств ЖКГ, в той час як проблема зменшення заборгованості населення за надані послуги є однією з ключових і потребує невідкладного вирішення. </w:t>
      </w:r>
    </w:p>
    <w:p w:rsidR="00E6547B" w:rsidRPr="00DD621F" w:rsidRDefault="00E6547B" w:rsidP="00DD621F">
      <w:pPr>
        <w:pStyle w:val="ListParagraph"/>
        <w:spacing w:line="288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DD621F">
        <w:rPr>
          <w:rFonts w:ascii="Times New Roman" w:hAnsi="Times New Roman"/>
          <w:sz w:val="28"/>
          <w:szCs w:val="28"/>
          <w:lang w:val="uk-UA"/>
        </w:rPr>
        <w:t>Враховуючи викладене вище у цій роботі пропонується уточнити традиційні варіанти моделі компанії Дюпон таким чином:</w:t>
      </w:r>
    </w:p>
    <w:p w:rsidR="00E6547B" w:rsidRPr="00DD621F" w:rsidRDefault="00E6547B" w:rsidP="00DD621F">
      <w:pPr>
        <w:pStyle w:val="ListParagraph"/>
        <w:spacing w:line="288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DD621F">
        <w:rPr>
          <w:rFonts w:ascii="Times New Roman" w:hAnsi="Times New Roman"/>
          <w:sz w:val="28"/>
          <w:szCs w:val="28"/>
          <w:lang w:val="uk-UA"/>
        </w:rPr>
        <w:t>По-перше, модель для аналізу рентабельності власного капіталу на підприємствах ЖКГ рекомендується застосовувати як допоміжну і лише у тому випадку, якщо питома вага власного капіталу у загальній його структурі є досить значною і перевищує 60%.</w:t>
      </w:r>
    </w:p>
    <w:p w:rsidR="00E6547B" w:rsidRPr="00DD621F" w:rsidRDefault="00E6547B" w:rsidP="00DD621F">
      <w:pPr>
        <w:pStyle w:val="ListParagraph"/>
        <w:spacing w:line="288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DD621F">
        <w:rPr>
          <w:rFonts w:ascii="Times New Roman" w:hAnsi="Times New Roman"/>
          <w:sz w:val="28"/>
          <w:szCs w:val="28"/>
          <w:lang w:val="uk-UA"/>
        </w:rPr>
        <w:t xml:space="preserve">По-друге, наведені варіанти моделі Дюпон пропонується доповнити такими факторами як: оборотність дебіторської заборгованості, частка дебіторської заборгованості у оборотних активах та питома вага оборотних активів у складі активів підприємства. </w:t>
      </w:r>
    </w:p>
    <w:p w:rsidR="00E6547B" w:rsidRPr="00DD621F" w:rsidRDefault="00E6547B" w:rsidP="00DD621F">
      <w:pPr>
        <w:pStyle w:val="ListParagraph"/>
        <w:spacing w:line="288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DD621F">
        <w:rPr>
          <w:rFonts w:ascii="Times New Roman" w:hAnsi="Times New Roman"/>
          <w:sz w:val="28"/>
          <w:szCs w:val="28"/>
          <w:lang w:val="uk-UA"/>
        </w:rPr>
        <w:t xml:space="preserve">З урахуванням сформульованих пропозицій, моделі для аналізу рентабельності активів та капіталу підприємств ЖКГ можна записати таким чином: </w:t>
      </w:r>
    </w:p>
    <w:p w:rsidR="00E6547B" w:rsidRPr="00DD621F" w:rsidRDefault="00E6547B" w:rsidP="00DD621F">
      <w:pPr>
        <w:pStyle w:val="ListParagraph"/>
        <w:spacing w:line="288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rect id="Прямоугольник 5" o:spid="_x0000_s1028" style="position:absolute;left:0;text-align:left;margin-left:27pt;margin-top:3.05pt;width:472pt;height:52.3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" filled="f" stroked="f" strokeweight="2pt">
            <v:textbox>
              <w:txbxContent>
                <w:p w:rsidR="00E6547B" w:rsidRPr="00EC3CFB" w:rsidRDefault="00E6547B" w:rsidP="00643FF2">
                  <w:pPr>
                    <w:jc w:val="left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uk-UA"/>
                    </w:rPr>
                  </w:pPr>
                  <w:r w:rsidRPr="00EC3CFB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uk-UA"/>
                    </w:rPr>
                    <w:t>Рентабельність активів =  Рентабельність реалізації × Оборотність дебіторської заборгованості × Частка дебіторської заборгованості у оборотних активах × Питома вага оборотних активів у активах підприємства</w:t>
                  </w:r>
                </w:p>
              </w:txbxContent>
            </v:textbox>
          </v:rect>
        </w:pict>
      </w:r>
    </w:p>
    <w:p w:rsidR="00E6547B" w:rsidRPr="00DD621F" w:rsidRDefault="00E6547B" w:rsidP="00DD621F">
      <w:pPr>
        <w:spacing w:line="288" w:lineRule="auto"/>
        <w:ind w:firstLine="709"/>
        <w:rPr>
          <w:sz w:val="28"/>
          <w:szCs w:val="28"/>
          <w:lang w:val="uk-UA"/>
        </w:rPr>
      </w:pPr>
    </w:p>
    <w:p w:rsidR="00E6547B" w:rsidRPr="00DD621F" w:rsidRDefault="00E6547B" w:rsidP="00DD621F">
      <w:pPr>
        <w:spacing w:line="288" w:lineRule="auto"/>
        <w:ind w:firstLine="709"/>
        <w:rPr>
          <w:sz w:val="28"/>
          <w:szCs w:val="28"/>
          <w:lang w:val="uk-UA"/>
        </w:rPr>
      </w:pPr>
    </w:p>
    <w:p w:rsidR="00E6547B" w:rsidRPr="00DD621F" w:rsidRDefault="00E6547B" w:rsidP="00DD621F">
      <w:pPr>
        <w:spacing w:line="288" w:lineRule="auto"/>
        <w:ind w:firstLine="709"/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rect id="Прямоугольник 6" o:spid="_x0000_s1029" style="position:absolute;left:0;text-align:left;margin-left:29.65pt;margin-top:1.55pt;width:472pt;height:65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" filled="f" stroked="f" strokeweight="2pt">
            <v:textbox>
              <w:txbxContent>
                <w:p w:rsidR="00E6547B" w:rsidRPr="00EC3CFB" w:rsidRDefault="00E6547B" w:rsidP="00280870">
                  <w:pPr>
                    <w:jc w:val="left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uk-UA"/>
                    </w:rPr>
                  </w:pPr>
                  <w:r w:rsidRPr="00EC3CFB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uk-UA"/>
                    </w:rPr>
                    <w:t>Рентабельність власного капіталу =  Рентабельність реалізації × Оборотність дебіторської заборгованості × Частка дебіторської заборгованості у оборотних активах × Питома вага оборотних активів у активах × активи на одиницю власного капіталу підприємства</w:t>
                  </w:r>
                </w:p>
              </w:txbxContent>
            </v:textbox>
          </v:rect>
        </w:pict>
      </w:r>
    </w:p>
    <w:p w:rsidR="00E6547B" w:rsidRPr="00DD621F" w:rsidRDefault="00E6547B" w:rsidP="00DD621F">
      <w:pPr>
        <w:spacing w:line="288" w:lineRule="auto"/>
        <w:ind w:firstLine="709"/>
        <w:rPr>
          <w:sz w:val="28"/>
          <w:szCs w:val="28"/>
          <w:lang w:val="uk-UA"/>
        </w:rPr>
      </w:pPr>
    </w:p>
    <w:p w:rsidR="00E6547B" w:rsidRPr="00DD621F" w:rsidRDefault="00E6547B" w:rsidP="00DD621F">
      <w:pPr>
        <w:spacing w:line="288" w:lineRule="auto"/>
        <w:ind w:firstLine="709"/>
        <w:rPr>
          <w:sz w:val="28"/>
          <w:szCs w:val="28"/>
          <w:lang w:val="uk-UA"/>
        </w:rPr>
      </w:pPr>
    </w:p>
    <w:p w:rsidR="00E6547B" w:rsidRPr="00DD621F" w:rsidRDefault="00E6547B" w:rsidP="00DD621F">
      <w:pPr>
        <w:spacing w:line="288" w:lineRule="auto"/>
        <w:ind w:firstLine="709"/>
        <w:rPr>
          <w:sz w:val="28"/>
          <w:szCs w:val="28"/>
          <w:lang w:val="uk-UA"/>
        </w:rPr>
      </w:pPr>
    </w:p>
    <w:p w:rsidR="00E6547B" w:rsidRPr="00DD621F" w:rsidRDefault="00E6547B" w:rsidP="00DD621F">
      <w:pPr>
        <w:spacing w:line="288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DD621F">
        <w:rPr>
          <w:rFonts w:ascii="Times New Roman" w:hAnsi="Times New Roman"/>
          <w:sz w:val="28"/>
          <w:szCs w:val="28"/>
          <w:lang w:val="uk-UA"/>
        </w:rPr>
        <w:t>Підводячи підсумки варто відзначити, що наведені вище рекомендації, на думку авторів, дозволять:</w:t>
      </w:r>
    </w:p>
    <w:p w:rsidR="00E6547B" w:rsidRPr="00DD621F" w:rsidRDefault="00E6547B" w:rsidP="00DD621F">
      <w:pPr>
        <w:spacing w:line="288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DD621F">
        <w:rPr>
          <w:rFonts w:ascii="Times New Roman" w:hAnsi="Times New Roman"/>
          <w:sz w:val="28"/>
          <w:szCs w:val="28"/>
          <w:lang w:val="uk-UA"/>
        </w:rPr>
        <w:t>– оцінювати вплив змін величини та питомої ваги дебіторської заборгованості на фінансові результати підприємств ЖКГ та відповідно до отриманих результатів розробляти заходи з інкасації заборгованості;</w:t>
      </w:r>
    </w:p>
    <w:p w:rsidR="00E6547B" w:rsidRPr="00DD621F" w:rsidRDefault="00E6547B" w:rsidP="00DD621F">
      <w:pPr>
        <w:spacing w:line="288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DD621F">
        <w:rPr>
          <w:rFonts w:ascii="Times New Roman" w:hAnsi="Times New Roman"/>
          <w:sz w:val="28"/>
          <w:szCs w:val="28"/>
          <w:lang w:val="uk-UA"/>
        </w:rPr>
        <w:t xml:space="preserve">– суттєво підвищити обґрунтованість управлінських рішень, що стосуються підвищення фінансових результатів та рентабельності підприємств житлово-комунального господарства. </w:t>
      </w:r>
    </w:p>
    <w:sectPr w:rsidR="00E6547B" w:rsidRPr="00DD621F" w:rsidSect="00DD621F">
      <w:pgSz w:w="11906" w:h="16838"/>
      <w:pgMar w:top="1134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47B" w:rsidRDefault="00E6547B" w:rsidP="00C75320">
      <w:r>
        <w:separator/>
      </w:r>
    </w:p>
  </w:endnote>
  <w:endnote w:type="continuationSeparator" w:id="0">
    <w:p w:rsidR="00E6547B" w:rsidRDefault="00E6547B" w:rsidP="00C75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47B" w:rsidRDefault="00E6547B" w:rsidP="00C75320">
      <w:r>
        <w:separator/>
      </w:r>
    </w:p>
  </w:footnote>
  <w:footnote w:type="continuationSeparator" w:id="0">
    <w:p w:rsidR="00E6547B" w:rsidRDefault="00E6547B" w:rsidP="00C75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5C1"/>
    <w:multiLevelType w:val="hybridMultilevel"/>
    <w:tmpl w:val="B62A213A"/>
    <w:lvl w:ilvl="0" w:tplc="C3D2C4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EE2B2B"/>
    <w:multiLevelType w:val="hybridMultilevel"/>
    <w:tmpl w:val="9DD2047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89B0164"/>
    <w:multiLevelType w:val="hybridMultilevel"/>
    <w:tmpl w:val="D4AC76DA"/>
    <w:lvl w:ilvl="0" w:tplc="B47434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B2F"/>
    <w:rsid w:val="000348D1"/>
    <w:rsid w:val="001C00C4"/>
    <w:rsid w:val="00246B2F"/>
    <w:rsid w:val="00280870"/>
    <w:rsid w:val="00326678"/>
    <w:rsid w:val="00363CCF"/>
    <w:rsid w:val="00386549"/>
    <w:rsid w:val="004316B1"/>
    <w:rsid w:val="004D121D"/>
    <w:rsid w:val="00557FFB"/>
    <w:rsid w:val="005D38A2"/>
    <w:rsid w:val="005F6731"/>
    <w:rsid w:val="00643FF2"/>
    <w:rsid w:val="00670293"/>
    <w:rsid w:val="00735237"/>
    <w:rsid w:val="0077225C"/>
    <w:rsid w:val="007E6C33"/>
    <w:rsid w:val="0092407E"/>
    <w:rsid w:val="00925088"/>
    <w:rsid w:val="00A70CDE"/>
    <w:rsid w:val="00AF6A76"/>
    <w:rsid w:val="00B77383"/>
    <w:rsid w:val="00B8752E"/>
    <w:rsid w:val="00BD6508"/>
    <w:rsid w:val="00C75320"/>
    <w:rsid w:val="00DC1A1F"/>
    <w:rsid w:val="00DD621F"/>
    <w:rsid w:val="00E46778"/>
    <w:rsid w:val="00E6547B"/>
    <w:rsid w:val="00EC22D7"/>
    <w:rsid w:val="00EC3CFB"/>
    <w:rsid w:val="00F10884"/>
    <w:rsid w:val="00F5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52E"/>
    <w:pPr>
      <w:jc w:val="both"/>
    </w:pPr>
    <w:rPr>
      <w:rFonts w:ascii="Arial" w:hAnsi="Arial"/>
      <w:sz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508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D6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65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D65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7532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5320"/>
    <w:rPr>
      <w:rFonts w:ascii="Arial" w:hAnsi="Arial" w:cs="Times New Roman"/>
      <w:sz w:val="20"/>
    </w:rPr>
  </w:style>
  <w:style w:type="paragraph" w:styleId="Footer">
    <w:name w:val="footer"/>
    <w:basedOn w:val="Normal"/>
    <w:link w:val="FooterChar"/>
    <w:uiPriority w:val="99"/>
    <w:rsid w:val="00C7532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5320"/>
    <w:rPr>
      <w:rFonts w:ascii="Arial" w:hAnsi="Arial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572</Words>
  <Characters>3263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Admincht</cp:lastModifiedBy>
  <cp:revision>6</cp:revision>
  <dcterms:created xsi:type="dcterms:W3CDTF">2016-10-30T13:15:00Z</dcterms:created>
  <dcterms:modified xsi:type="dcterms:W3CDTF">2017-01-26T12:56:00Z</dcterms:modified>
</cp:coreProperties>
</file>